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76D6" w14:textId="1DDF726D" w:rsidR="00BB5E30" w:rsidRPr="00504A5B" w:rsidRDefault="00BB5E30" w:rsidP="00BB5E30">
      <w:pPr>
        <w:spacing w:line="276" w:lineRule="auto"/>
        <w:jc w:val="right"/>
        <w:rPr>
          <w:rFonts w:cstheme="minorHAnsi"/>
          <w:b/>
          <w:bCs/>
          <w:lang w:val="pl-PL"/>
        </w:rPr>
      </w:pPr>
      <w:r w:rsidRPr="00504A5B">
        <w:rPr>
          <w:rFonts w:cstheme="minorHAnsi"/>
          <w:b/>
          <w:bCs/>
          <w:lang w:val="pl-PL"/>
        </w:rPr>
        <w:t xml:space="preserve">Warszawa, </w:t>
      </w:r>
      <w:r w:rsidR="000529AA">
        <w:rPr>
          <w:rFonts w:cstheme="minorHAnsi"/>
          <w:b/>
          <w:bCs/>
          <w:lang w:val="pl-PL"/>
        </w:rPr>
        <w:t>25</w:t>
      </w:r>
      <w:r>
        <w:rPr>
          <w:rFonts w:cstheme="minorHAnsi"/>
          <w:b/>
          <w:bCs/>
          <w:lang w:val="pl-PL"/>
        </w:rPr>
        <w:t xml:space="preserve"> sierpnia</w:t>
      </w:r>
      <w:r w:rsidRPr="00504A5B">
        <w:rPr>
          <w:rFonts w:cstheme="minorHAnsi"/>
          <w:b/>
          <w:bCs/>
          <w:lang w:val="pl-PL"/>
        </w:rPr>
        <w:t xml:space="preserve"> 2021</w:t>
      </w:r>
    </w:p>
    <w:p w14:paraId="43E9AE3C" w14:textId="77777777" w:rsidR="00BB5E30" w:rsidRPr="00504A5B" w:rsidRDefault="00BB5E30" w:rsidP="00BB5E30">
      <w:pPr>
        <w:spacing w:line="276" w:lineRule="auto"/>
        <w:rPr>
          <w:rFonts w:cstheme="minorHAnsi"/>
          <w:b/>
          <w:bCs/>
          <w:lang w:val="pl-PL"/>
        </w:rPr>
      </w:pPr>
    </w:p>
    <w:p w14:paraId="76CDFA00" w14:textId="4F93DF07" w:rsidR="00BB5E30" w:rsidRPr="00504A5B" w:rsidRDefault="00BB5E30" w:rsidP="00BB5E30">
      <w:pPr>
        <w:spacing w:line="276" w:lineRule="auto"/>
        <w:jc w:val="both"/>
        <w:rPr>
          <w:rFonts w:cstheme="minorHAnsi"/>
          <w:b/>
          <w:bCs/>
          <w:lang w:val="pl-PL"/>
        </w:rPr>
      </w:pPr>
      <w:r w:rsidRPr="00504A5B">
        <w:rPr>
          <w:rFonts w:cstheme="minorHAnsi"/>
          <w:b/>
          <w:bCs/>
          <w:lang w:val="pl-PL"/>
        </w:rPr>
        <w:t>Informacja prasowa</w:t>
      </w:r>
    </w:p>
    <w:p w14:paraId="56FCD9C5" w14:textId="77777777" w:rsidR="00BB5E30" w:rsidRPr="00504A5B" w:rsidRDefault="00BB5E30" w:rsidP="00BB5E30">
      <w:pPr>
        <w:spacing w:line="276" w:lineRule="auto"/>
        <w:jc w:val="both"/>
        <w:rPr>
          <w:rFonts w:cstheme="minorHAnsi"/>
          <w:b/>
          <w:bCs/>
          <w:lang w:val="pl-PL"/>
        </w:rPr>
      </w:pPr>
    </w:p>
    <w:p w14:paraId="3D3B3980" w14:textId="588182B2" w:rsidR="00BB5E30" w:rsidRPr="00504A5B" w:rsidRDefault="00BB5E30" w:rsidP="00BB5E30">
      <w:pPr>
        <w:spacing w:line="276" w:lineRule="auto"/>
        <w:jc w:val="both"/>
        <w:rPr>
          <w:rFonts w:cstheme="minorHAnsi"/>
          <w:b/>
          <w:bCs/>
          <w:lang w:val="pl-PL"/>
        </w:rPr>
      </w:pPr>
      <w:r w:rsidRPr="00504A5B">
        <w:rPr>
          <w:rFonts w:cstheme="minorHAnsi"/>
          <w:b/>
          <w:bCs/>
          <w:lang w:val="pl-PL"/>
        </w:rPr>
        <w:t xml:space="preserve">Atradius: </w:t>
      </w:r>
      <w:r w:rsidR="00D10CF4">
        <w:rPr>
          <w:rFonts w:cstheme="minorHAnsi"/>
          <w:b/>
          <w:bCs/>
          <w:lang w:val="pl-PL"/>
        </w:rPr>
        <w:t xml:space="preserve">odbudowa światowej gospodarki trwa. Eksperci szacują wzrost o 6,2 </w:t>
      </w:r>
      <w:r>
        <w:rPr>
          <w:rFonts w:cstheme="minorHAnsi"/>
          <w:b/>
          <w:bCs/>
          <w:lang w:val="pl-PL"/>
        </w:rPr>
        <w:t>proc.</w:t>
      </w:r>
      <w:r w:rsidRPr="00504A5B">
        <w:rPr>
          <w:rFonts w:cstheme="minorHAnsi"/>
          <w:b/>
          <w:bCs/>
          <w:lang w:val="pl-PL"/>
        </w:rPr>
        <w:t xml:space="preserve"> </w:t>
      </w:r>
      <w:r w:rsidR="00D10CF4">
        <w:rPr>
          <w:rFonts w:cstheme="minorHAnsi"/>
          <w:b/>
          <w:bCs/>
          <w:lang w:val="pl-PL"/>
        </w:rPr>
        <w:t>w 2021 roku</w:t>
      </w:r>
    </w:p>
    <w:p w14:paraId="2419C2A9" w14:textId="77777777" w:rsidR="00BB5E30" w:rsidRPr="006A42CA" w:rsidRDefault="00BB5E30" w:rsidP="00BB5E30">
      <w:pPr>
        <w:spacing w:line="276" w:lineRule="auto"/>
        <w:jc w:val="both"/>
        <w:rPr>
          <w:rFonts w:cstheme="minorHAnsi"/>
          <w:b/>
          <w:bCs/>
          <w:lang w:val="pl-PL"/>
        </w:rPr>
      </w:pPr>
    </w:p>
    <w:p w14:paraId="7DF2B9FF" w14:textId="7390B415" w:rsidR="00586997" w:rsidRDefault="00402E1C" w:rsidP="00BB5E30">
      <w:pPr>
        <w:spacing w:line="276" w:lineRule="auto"/>
        <w:jc w:val="both"/>
        <w:rPr>
          <w:rFonts w:cstheme="minorHAnsi"/>
          <w:b/>
          <w:bCs/>
          <w:lang w:val="pl-PL"/>
        </w:rPr>
      </w:pPr>
      <w:r>
        <w:rPr>
          <w:rFonts w:cstheme="minorHAnsi"/>
          <w:b/>
          <w:bCs/>
          <w:lang w:val="pl-PL"/>
        </w:rPr>
        <w:t xml:space="preserve">Według najnowszego badania </w:t>
      </w:r>
      <w:r w:rsidRPr="00402E1C">
        <w:rPr>
          <w:rFonts w:cstheme="minorHAnsi"/>
          <w:b/>
          <w:bCs/>
          <w:lang w:val="pl-PL"/>
        </w:rPr>
        <w:t>Atradius Economic Research</w:t>
      </w:r>
      <w:r>
        <w:rPr>
          <w:rFonts w:cstheme="minorHAnsi"/>
          <w:b/>
          <w:bCs/>
          <w:lang w:val="pl-PL"/>
        </w:rPr>
        <w:t xml:space="preserve">, </w:t>
      </w:r>
      <w:r w:rsidR="00D10CF4">
        <w:rPr>
          <w:rFonts w:cstheme="minorHAnsi"/>
          <w:b/>
          <w:bCs/>
          <w:lang w:val="pl-PL"/>
        </w:rPr>
        <w:t>światowa gospodarka odzyskuje siły,</w:t>
      </w:r>
      <w:r w:rsidR="007152FA">
        <w:rPr>
          <w:rFonts w:cstheme="minorHAnsi"/>
          <w:b/>
          <w:bCs/>
          <w:lang w:val="pl-PL"/>
        </w:rPr>
        <w:t xml:space="preserve"> </w:t>
      </w:r>
      <w:r w:rsidR="00D10CF4">
        <w:rPr>
          <w:rFonts w:cstheme="minorHAnsi"/>
          <w:b/>
          <w:bCs/>
          <w:lang w:val="pl-PL"/>
        </w:rPr>
        <w:t>a </w:t>
      </w:r>
      <w:r w:rsidR="007152FA">
        <w:rPr>
          <w:rFonts w:cstheme="minorHAnsi"/>
          <w:b/>
          <w:bCs/>
          <w:lang w:val="pl-PL"/>
        </w:rPr>
        <w:t xml:space="preserve">straty wywołane pandemią COVID-19 odrobiono już w II kwartale br. Eksperci </w:t>
      </w:r>
      <w:r w:rsidR="00194582">
        <w:rPr>
          <w:rFonts w:cstheme="minorHAnsi"/>
          <w:b/>
          <w:bCs/>
          <w:lang w:val="pl-PL"/>
        </w:rPr>
        <w:t>szacują, że do końca 2021 roku gospodarka odnotuje wzrost o 6,2 proc w skali globalnej</w:t>
      </w:r>
      <w:r w:rsidR="00D10CF4">
        <w:rPr>
          <w:rFonts w:cstheme="minorHAnsi"/>
          <w:b/>
          <w:bCs/>
          <w:lang w:val="pl-PL"/>
        </w:rPr>
        <w:t>. P</w:t>
      </w:r>
      <w:r>
        <w:rPr>
          <w:rFonts w:cstheme="minorHAnsi"/>
          <w:b/>
          <w:bCs/>
          <w:lang w:val="pl-PL"/>
        </w:rPr>
        <w:t>oziom o</w:t>
      </w:r>
      <w:r w:rsidRPr="00586997">
        <w:rPr>
          <w:rFonts w:cstheme="minorHAnsi"/>
          <w:b/>
          <w:bCs/>
          <w:lang w:val="pl-PL"/>
        </w:rPr>
        <w:t>żywieni</w:t>
      </w:r>
      <w:r>
        <w:rPr>
          <w:rFonts w:cstheme="minorHAnsi"/>
          <w:b/>
          <w:bCs/>
          <w:lang w:val="pl-PL"/>
        </w:rPr>
        <w:t>a</w:t>
      </w:r>
      <w:r w:rsidRPr="00586997">
        <w:rPr>
          <w:rFonts w:cstheme="minorHAnsi"/>
          <w:b/>
          <w:bCs/>
          <w:lang w:val="pl-PL"/>
        </w:rPr>
        <w:t xml:space="preserve"> jest </w:t>
      </w:r>
      <w:r w:rsidR="00D10CF4">
        <w:rPr>
          <w:rFonts w:cstheme="minorHAnsi"/>
          <w:b/>
          <w:bCs/>
          <w:lang w:val="pl-PL"/>
        </w:rPr>
        <w:t xml:space="preserve">jednak </w:t>
      </w:r>
      <w:r w:rsidRPr="00586997">
        <w:rPr>
          <w:rFonts w:cstheme="minorHAnsi"/>
          <w:b/>
          <w:bCs/>
          <w:lang w:val="pl-PL"/>
        </w:rPr>
        <w:t>zróżnicowan</w:t>
      </w:r>
      <w:r>
        <w:rPr>
          <w:rFonts w:cstheme="minorHAnsi"/>
          <w:b/>
          <w:bCs/>
          <w:lang w:val="pl-PL"/>
        </w:rPr>
        <w:t>y</w:t>
      </w:r>
      <w:r w:rsidRPr="00586997">
        <w:rPr>
          <w:rFonts w:cstheme="minorHAnsi"/>
          <w:b/>
          <w:bCs/>
          <w:lang w:val="pl-PL"/>
        </w:rPr>
        <w:t xml:space="preserve">, </w:t>
      </w:r>
      <w:r>
        <w:rPr>
          <w:rFonts w:cstheme="minorHAnsi"/>
          <w:b/>
          <w:bCs/>
          <w:lang w:val="pl-PL"/>
        </w:rPr>
        <w:t>co wynika</w:t>
      </w:r>
      <w:r w:rsidR="00D10CF4">
        <w:rPr>
          <w:rFonts w:cstheme="minorHAnsi"/>
          <w:b/>
          <w:bCs/>
          <w:lang w:val="pl-PL"/>
        </w:rPr>
        <w:t xml:space="preserve"> po części</w:t>
      </w:r>
      <w:r>
        <w:rPr>
          <w:rFonts w:cstheme="minorHAnsi"/>
          <w:b/>
          <w:bCs/>
          <w:lang w:val="pl-PL"/>
        </w:rPr>
        <w:t xml:space="preserve"> z </w:t>
      </w:r>
      <w:r w:rsidR="00D10CF4">
        <w:rPr>
          <w:rFonts w:cstheme="minorHAnsi"/>
          <w:b/>
          <w:bCs/>
          <w:lang w:val="pl-PL"/>
        </w:rPr>
        <w:t>nierównomiernego</w:t>
      </w:r>
      <w:r>
        <w:rPr>
          <w:rFonts w:cstheme="minorHAnsi"/>
          <w:b/>
          <w:bCs/>
          <w:lang w:val="pl-PL"/>
        </w:rPr>
        <w:t xml:space="preserve"> tempa szczepień w poszczególnych krajach</w:t>
      </w:r>
      <w:r w:rsidR="007152FA">
        <w:rPr>
          <w:rFonts w:cstheme="minorHAnsi"/>
          <w:b/>
          <w:bCs/>
          <w:lang w:val="pl-PL"/>
        </w:rPr>
        <w:t xml:space="preserve">, a </w:t>
      </w:r>
      <w:r w:rsidR="00D10CF4">
        <w:rPr>
          <w:rFonts w:cstheme="minorHAnsi"/>
          <w:b/>
          <w:bCs/>
          <w:lang w:val="pl-PL"/>
        </w:rPr>
        <w:t xml:space="preserve">głównym zagrożeniem dla odbudowy </w:t>
      </w:r>
      <w:r w:rsidR="007152FA">
        <w:rPr>
          <w:rFonts w:cstheme="minorHAnsi"/>
          <w:b/>
          <w:bCs/>
          <w:lang w:val="pl-PL"/>
        </w:rPr>
        <w:t xml:space="preserve">nadal pozostaje wariant Delta. </w:t>
      </w:r>
      <w:r w:rsidR="00194582">
        <w:rPr>
          <w:rFonts w:cstheme="minorHAnsi"/>
          <w:b/>
          <w:bCs/>
          <w:lang w:val="pl-PL"/>
        </w:rPr>
        <w:t xml:space="preserve">Atradius przewiduje jednocześnie, że </w:t>
      </w:r>
      <w:r w:rsidR="007152FA" w:rsidRPr="007152FA">
        <w:rPr>
          <w:rFonts w:cstheme="minorHAnsi"/>
          <w:b/>
          <w:bCs/>
          <w:lang w:val="pl-PL"/>
        </w:rPr>
        <w:t>liczba upadłości przedsiębiorstw na świecie wzrośnie, ponieważ wiele tymczasowych środków</w:t>
      </w:r>
      <w:r w:rsidR="00194582">
        <w:rPr>
          <w:rFonts w:cstheme="minorHAnsi"/>
          <w:b/>
          <w:bCs/>
          <w:lang w:val="pl-PL"/>
        </w:rPr>
        <w:t xml:space="preserve"> mających zapobiegać </w:t>
      </w:r>
      <w:r w:rsidR="007152FA" w:rsidRPr="007152FA">
        <w:rPr>
          <w:rFonts w:cstheme="minorHAnsi"/>
          <w:b/>
          <w:bCs/>
          <w:lang w:val="pl-PL"/>
        </w:rPr>
        <w:t>niewypłacalności jest stopniowo wycofywanych</w:t>
      </w:r>
      <w:r w:rsidR="00A871EB">
        <w:rPr>
          <w:rFonts w:cstheme="minorHAnsi"/>
          <w:b/>
          <w:bCs/>
          <w:lang w:val="pl-PL"/>
        </w:rPr>
        <w:t>.</w:t>
      </w:r>
    </w:p>
    <w:p w14:paraId="22DAAE9A" w14:textId="3A6920B7" w:rsidR="00946067" w:rsidRDefault="00946067" w:rsidP="00BB5E30">
      <w:pPr>
        <w:spacing w:line="276" w:lineRule="auto"/>
        <w:jc w:val="both"/>
        <w:rPr>
          <w:rFonts w:cstheme="minorHAnsi"/>
          <w:b/>
          <w:bCs/>
          <w:lang w:val="pl-PL"/>
        </w:rPr>
      </w:pPr>
    </w:p>
    <w:p w14:paraId="39072507" w14:textId="57CBAA80" w:rsidR="007A3571" w:rsidRDefault="00946067" w:rsidP="00BB5E30">
      <w:pPr>
        <w:spacing w:line="276" w:lineRule="auto"/>
        <w:jc w:val="both"/>
        <w:rPr>
          <w:rFonts w:cstheme="minorHAnsi"/>
          <w:b/>
          <w:bCs/>
          <w:lang w:val="pl-PL"/>
        </w:rPr>
      </w:pPr>
      <w:r>
        <w:rPr>
          <w:rFonts w:cstheme="minorHAnsi"/>
          <w:b/>
          <w:bCs/>
          <w:lang w:val="pl-PL"/>
        </w:rPr>
        <w:t>N</w:t>
      </w:r>
      <w:r w:rsidRPr="00946067">
        <w:rPr>
          <w:rFonts w:cstheme="minorHAnsi"/>
          <w:b/>
          <w:bCs/>
          <w:lang w:val="pl-PL"/>
        </w:rPr>
        <w:t xml:space="preserve">ierównomierny </w:t>
      </w:r>
      <w:r w:rsidR="007A3571">
        <w:rPr>
          <w:rFonts w:cstheme="minorHAnsi"/>
          <w:b/>
          <w:bCs/>
          <w:lang w:val="pl-PL"/>
        </w:rPr>
        <w:t>wzrost</w:t>
      </w:r>
    </w:p>
    <w:p w14:paraId="1591B2E5" w14:textId="25CBB543" w:rsidR="00D37C6F" w:rsidRDefault="007A3571" w:rsidP="00BB5E30">
      <w:pPr>
        <w:spacing w:line="276" w:lineRule="auto"/>
        <w:jc w:val="both"/>
        <w:rPr>
          <w:rFonts w:cstheme="minorHAnsi"/>
          <w:lang w:val="pl-PL"/>
        </w:rPr>
      </w:pPr>
      <w:r w:rsidRPr="007A3571">
        <w:rPr>
          <w:rFonts w:cstheme="minorHAnsi"/>
          <w:lang w:val="pl-PL"/>
        </w:rPr>
        <w:t xml:space="preserve">Choć </w:t>
      </w:r>
      <w:r>
        <w:rPr>
          <w:rFonts w:cstheme="minorHAnsi"/>
          <w:lang w:val="pl-PL"/>
        </w:rPr>
        <w:t xml:space="preserve">globalna liczba zachorowań na COVID-19 rośnie </w:t>
      </w:r>
      <w:r w:rsidRPr="007A3571">
        <w:rPr>
          <w:rFonts w:cstheme="minorHAnsi"/>
          <w:lang w:val="pl-PL"/>
        </w:rPr>
        <w:t>w miarę rozprzestrzeniania się bardziej zakaźnych wariantów,</w:t>
      </w:r>
      <w:r>
        <w:rPr>
          <w:rFonts w:cstheme="minorHAnsi"/>
          <w:lang w:val="pl-PL"/>
        </w:rPr>
        <w:t xml:space="preserve"> </w:t>
      </w:r>
      <w:r w:rsidRPr="007A3571">
        <w:rPr>
          <w:rFonts w:cstheme="minorHAnsi"/>
          <w:lang w:val="pl-PL"/>
        </w:rPr>
        <w:t>nastroje</w:t>
      </w:r>
      <w:r w:rsidR="00D81824">
        <w:rPr>
          <w:rFonts w:cstheme="minorHAnsi"/>
          <w:lang w:val="pl-PL"/>
        </w:rPr>
        <w:t xml:space="preserve"> społeczne i </w:t>
      </w:r>
      <w:r w:rsidR="00A444CF">
        <w:rPr>
          <w:rFonts w:cstheme="minorHAnsi"/>
          <w:lang w:val="pl-PL"/>
        </w:rPr>
        <w:t xml:space="preserve">ekonomiczne </w:t>
      </w:r>
      <w:r w:rsidRPr="007A3571">
        <w:rPr>
          <w:rFonts w:cstheme="minorHAnsi"/>
          <w:lang w:val="pl-PL"/>
        </w:rPr>
        <w:t>ulegają poprawie</w:t>
      </w:r>
      <w:r>
        <w:rPr>
          <w:rFonts w:cstheme="minorHAnsi"/>
          <w:lang w:val="pl-PL"/>
        </w:rPr>
        <w:t xml:space="preserve">, a ożywienie w handlu trwa. </w:t>
      </w:r>
      <w:r w:rsidR="000E1629">
        <w:rPr>
          <w:rFonts w:cstheme="minorHAnsi"/>
          <w:lang w:val="pl-PL"/>
        </w:rPr>
        <w:t>E</w:t>
      </w:r>
      <w:r w:rsidR="00ED79A9" w:rsidRPr="00ED79A9">
        <w:rPr>
          <w:rFonts w:cstheme="minorHAnsi"/>
          <w:lang w:val="pl-PL"/>
        </w:rPr>
        <w:t>ksperci</w:t>
      </w:r>
      <w:r>
        <w:rPr>
          <w:rFonts w:cstheme="minorHAnsi"/>
          <w:lang w:val="pl-PL"/>
        </w:rPr>
        <w:t xml:space="preserve"> Atradius </w:t>
      </w:r>
      <w:r w:rsidR="00AB5BE3">
        <w:rPr>
          <w:rFonts w:cstheme="minorHAnsi"/>
          <w:lang w:val="pl-PL"/>
        </w:rPr>
        <w:t>szacują</w:t>
      </w:r>
      <w:r w:rsidR="00CF4C36">
        <w:rPr>
          <w:rFonts w:cstheme="minorHAnsi"/>
          <w:lang w:val="pl-PL"/>
        </w:rPr>
        <w:t>, że w 2021 roku światowa gospodarka wzrośnie o</w:t>
      </w:r>
      <w:r>
        <w:rPr>
          <w:rFonts w:cstheme="minorHAnsi"/>
          <w:lang w:val="pl-PL"/>
        </w:rPr>
        <w:t xml:space="preserve"> </w:t>
      </w:r>
      <w:r w:rsidRPr="007A3571">
        <w:rPr>
          <w:rFonts w:cstheme="minorHAnsi"/>
          <w:lang w:val="pl-PL"/>
        </w:rPr>
        <w:t>6,2</w:t>
      </w:r>
      <w:r>
        <w:rPr>
          <w:rFonts w:cstheme="minorHAnsi"/>
          <w:lang w:val="pl-PL"/>
        </w:rPr>
        <w:t xml:space="preserve"> proc</w:t>
      </w:r>
      <w:r w:rsidR="0022329D">
        <w:rPr>
          <w:rFonts w:cstheme="minorHAnsi"/>
          <w:lang w:val="pl-PL"/>
        </w:rPr>
        <w:t>.</w:t>
      </w:r>
      <w:r w:rsidR="007B7BA5">
        <w:rPr>
          <w:rFonts w:cstheme="minorHAnsi"/>
          <w:lang w:val="pl-PL"/>
        </w:rPr>
        <w:t>, równocześnie</w:t>
      </w:r>
      <w:r w:rsidR="004D7036">
        <w:rPr>
          <w:rFonts w:cstheme="minorHAnsi"/>
          <w:lang w:val="pl-PL"/>
        </w:rPr>
        <w:t xml:space="preserve"> wskazując</w:t>
      </w:r>
      <w:r w:rsidR="007B7BA5">
        <w:rPr>
          <w:rFonts w:cstheme="minorHAnsi"/>
          <w:lang w:val="pl-PL"/>
        </w:rPr>
        <w:t xml:space="preserve">, że </w:t>
      </w:r>
      <w:r w:rsidR="00D37C6F" w:rsidRPr="00D37C6F">
        <w:rPr>
          <w:rFonts w:cstheme="minorHAnsi"/>
          <w:lang w:val="pl-PL"/>
        </w:rPr>
        <w:t>głównym zagrożeniem</w:t>
      </w:r>
      <w:r w:rsidR="007B7BA5">
        <w:rPr>
          <w:rFonts w:cstheme="minorHAnsi"/>
          <w:lang w:val="pl-PL"/>
        </w:rPr>
        <w:t xml:space="preserve"> dla odbudowy na</w:t>
      </w:r>
      <w:r w:rsidR="004904C4">
        <w:rPr>
          <w:rFonts w:cstheme="minorHAnsi"/>
          <w:lang w:val="pl-PL"/>
        </w:rPr>
        <w:t xml:space="preserve">dal </w:t>
      </w:r>
      <w:r w:rsidR="001C19E5">
        <w:rPr>
          <w:rFonts w:cstheme="minorHAnsi"/>
          <w:lang w:val="pl-PL"/>
        </w:rPr>
        <w:t>będą</w:t>
      </w:r>
      <w:r w:rsidR="004904C4">
        <w:rPr>
          <w:rFonts w:cstheme="minorHAnsi"/>
          <w:lang w:val="pl-PL"/>
        </w:rPr>
        <w:t xml:space="preserve"> wariant Delta</w:t>
      </w:r>
      <w:r w:rsidR="00B03252">
        <w:rPr>
          <w:rFonts w:cstheme="minorHAnsi"/>
          <w:lang w:val="pl-PL"/>
        </w:rPr>
        <w:t xml:space="preserve"> oraz </w:t>
      </w:r>
      <w:r w:rsidR="004904C4">
        <w:rPr>
          <w:rFonts w:cstheme="minorHAnsi"/>
          <w:lang w:val="pl-PL"/>
        </w:rPr>
        <w:t>spowolnione tempo szczepień w niektórych krajach.</w:t>
      </w:r>
    </w:p>
    <w:p w14:paraId="6245F95A" w14:textId="77777777" w:rsidR="00BC5214" w:rsidRDefault="00BC5214" w:rsidP="00BB5E30">
      <w:pPr>
        <w:spacing w:line="276" w:lineRule="auto"/>
        <w:jc w:val="both"/>
        <w:rPr>
          <w:rFonts w:cstheme="minorHAnsi"/>
          <w:lang w:val="pl-PL"/>
        </w:rPr>
      </w:pPr>
    </w:p>
    <w:p w14:paraId="775C321D" w14:textId="12F5881C" w:rsidR="00E743F0" w:rsidRDefault="00FE5FE0" w:rsidP="00BC5214">
      <w:p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Ja</w:t>
      </w:r>
      <w:r w:rsidR="00C37DD7">
        <w:rPr>
          <w:rFonts w:cstheme="minorHAnsi"/>
          <w:lang w:val="pl-PL"/>
        </w:rPr>
        <w:t>k</w:t>
      </w:r>
      <w:r>
        <w:rPr>
          <w:rFonts w:cstheme="minorHAnsi"/>
          <w:lang w:val="pl-PL"/>
        </w:rPr>
        <w:t xml:space="preserve"> wynika z </w:t>
      </w:r>
      <w:r w:rsidR="00BC5214">
        <w:rPr>
          <w:rFonts w:cstheme="minorHAnsi"/>
          <w:lang w:val="pl-PL"/>
        </w:rPr>
        <w:t xml:space="preserve">badania </w:t>
      </w:r>
      <w:r w:rsidR="00E743F0" w:rsidRPr="00E743F0">
        <w:rPr>
          <w:rFonts w:cstheme="minorHAnsi"/>
          <w:lang w:val="pl-PL"/>
        </w:rPr>
        <w:t>Atradius Economic Research</w:t>
      </w:r>
      <w:r w:rsidR="00E743F0">
        <w:rPr>
          <w:rFonts w:cstheme="minorHAnsi"/>
          <w:lang w:val="pl-PL"/>
        </w:rPr>
        <w:t xml:space="preserve">, </w:t>
      </w:r>
      <w:r w:rsidR="008E5EE6">
        <w:rPr>
          <w:rFonts w:cstheme="minorHAnsi"/>
          <w:lang w:val="pl-PL"/>
        </w:rPr>
        <w:t>ś</w:t>
      </w:r>
      <w:r w:rsidR="006E4591" w:rsidRPr="006E4591">
        <w:rPr>
          <w:rFonts w:cstheme="minorHAnsi"/>
          <w:lang w:val="pl-PL"/>
        </w:rPr>
        <w:t>wiatowy handel towarami przekroczył poziom sprzed pandemii, a 12-miesięczna średnia krocząca wzrosła w maju 2021 r</w:t>
      </w:r>
      <w:r w:rsidR="006E4591">
        <w:rPr>
          <w:rFonts w:cstheme="minorHAnsi"/>
          <w:lang w:val="pl-PL"/>
        </w:rPr>
        <w:t>oku</w:t>
      </w:r>
      <w:r w:rsidR="006E4591" w:rsidRPr="006E4591">
        <w:rPr>
          <w:rFonts w:cstheme="minorHAnsi"/>
          <w:lang w:val="pl-PL"/>
        </w:rPr>
        <w:t xml:space="preserve"> o 3,5</w:t>
      </w:r>
      <w:r w:rsidR="008E5EE6">
        <w:rPr>
          <w:rFonts w:cstheme="minorHAnsi"/>
          <w:lang w:val="pl-PL"/>
        </w:rPr>
        <w:t xml:space="preserve"> proc.</w:t>
      </w:r>
      <w:r w:rsidR="006E4591" w:rsidRPr="006E4591">
        <w:rPr>
          <w:rFonts w:cstheme="minorHAnsi"/>
          <w:lang w:val="pl-PL"/>
        </w:rPr>
        <w:t xml:space="preserve"> r/r.</w:t>
      </w:r>
      <w:r w:rsidR="006E4591">
        <w:rPr>
          <w:rFonts w:cstheme="minorHAnsi"/>
          <w:lang w:val="pl-PL"/>
        </w:rPr>
        <w:t xml:space="preserve"> </w:t>
      </w:r>
      <w:r w:rsidR="008F400E">
        <w:rPr>
          <w:rFonts w:cstheme="minorHAnsi"/>
          <w:lang w:val="pl-PL"/>
        </w:rPr>
        <w:t>Przewiduje się</w:t>
      </w:r>
      <w:r w:rsidR="00CD1DE6" w:rsidRPr="00CD1DE6">
        <w:rPr>
          <w:rFonts w:cstheme="minorHAnsi"/>
          <w:lang w:val="pl-PL"/>
        </w:rPr>
        <w:t xml:space="preserve">, że </w:t>
      </w:r>
      <w:r w:rsidR="001B74BD">
        <w:rPr>
          <w:rFonts w:cstheme="minorHAnsi"/>
          <w:lang w:val="pl-PL"/>
        </w:rPr>
        <w:t xml:space="preserve">w najbliższym czasie </w:t>
      </w:r>
      <w:r w:rsidR="00CD1DE6" w:rsidRPr="00CD1DE6">
        <w:rPr>
          <w:rFonts w:cstheme="minorHAnsi"/>
          <w:lang w:val="pl-PL"/>
        </w:rPr>
        <w:t>to ożywienie będzie kontynuowane, ale straci nieco na dynamice</w:t>
      </w:r>
      <w:r w:rsidR="008F400E">
        <w:rPr>
          <w:rFonts w:cstheme="minorHAnsi"/>
          <w:lang w:val="pl-PL"/>
        </w:rPr>
        <w:t>.</w:t>
      </w:r>
      <w:r w:rsidR="00F3063A">
        <w:rPr>
          <w:rFonts w:cstheme="minorHAnsi"/>
          <w:lang w:val="pl-PL"/>
        </w:rPr>
        <w:t xml:space="preserve"> Jednocześnie </w:t>
      </w:r>
      <w:r w:rsidR="005C2785">
        <w:rPr>
          <w:rFonts w:cstheme="minorHAnsi"/>
          <w:lang w:val="pl-PL"/>
        </w:rPr>
        <w:t>wciąż wysokie pozostaje</w:t>
      </w:r>
      <w:r w:rsidR="001C19E5" w:rsidRPr="001C19E5">
        <w:rPr>
          <w:rFonts w:cstheme="minorHAnsi"/>
          <w:lang w:val="pl-PL"/>
        </w:rPr>
        <w:t xml:space="preserve"> </w:t>
      </w:r>
      <w:r w:rsidR="001C19E5" w:rsidRPr="00F3063A">
        <w:rPr>
          <w:rFonts w:cstheme="minorHAnsi"/>
          <w:lang w:val="pl-PL"/>
        </w:rPr>
        <w:t>ryzyko wzrostu inflacji</w:t>
      </w:r>
      <w:r w:rsidR="001C19E5">
        <w:rPr>
          <w:rFonts w:cstheme="minorHAnsi"/>
          <w:lang w:val="pl-PL"/>
        </w:rPr>
        <w:t xml:space="preserve">, zwłaszcza na rynkach wschodzących. </w:t>
      </w:r>
      <w:r w:rsidR="001C19E5" w:rsidRPr="001C19E5">
        <w:rPr>
          <w:rFonts w:cstheme="minorHAnsi"/>
          <w:lang w:val="pl-PL"/>
        </w:rPr>
        <w:t>Zmusza to banki centralne</w:t>
      </w:r>
      <w:r w:rsidR="001C19E5">
        <w:rPr>
          <w:rFonts w:cstheme="minorHAnsi"/>
          <w:lang w:val="pl-PL"/>
        </w:rPr>
        <w:t xml:space="preserve"> </w:t>
      </w:r>
      <w:r w:rsidR="001C19E5" w:rsidRPr="001C19E5">
        <w:rPr>
          <w:rFonts w:cstheme="minorHAnsi"/>
          <w:lang w:val="pl-PL"/>
        </w:rPr>
        <w:t xml:space="preserve">do zaostrzenia polityki monetarnej, co </w:t>
      </w:r>
      <w:r w:rsidR="00D340EF">
        <w:rPr>
          <w:rFonts w:cstheme="minorHAnsi"/>
          <w:lang w:val="pl-PL"/>
        </w:rPr>
        <w:t>hamuje</w:t>
      </w:r>
      <w:r w:rsidR="001C19E5" w:rsidRPr="001C19E5">
        <w:rPr>
          <w:rFonts w:cstheme="minorHAnsi"/>
          <w:lang w:val="pl-PL"/>
        </w:rPr>
        <w:t xml:space="preserve"> ożywienie </w:t>
      </w:r>
      <w:r w:rsidR="008F7F3B">
        <w:rPr>
          <w:rFonts w:cstheme="minorHAnsi"/>
          <w:lang w:val="pl-PL"/>
        </w:rPr>
        <w:t> </w:t>
      </w:r>
      <w:r w:rsidR="003F4A24">
        <w:rPr>
          <w:rFonts w:cstheme="minorHAnsi"/>
          <w:lang w:val="pl-PL"/>
        </w:rPr>
        <w:t>i </w:t>
      </w:r>
      <w:r w:rsidR="001C19E5" w:rsidRPr="001C19E5">
        <w:rPr>
          <w:rFonts w:cstheme="minorHAnsi"/>
          <w:lang w:val="pl-PL"/>
        </w:rPr>
        <w:t>stanowi zagrożenie dla wzrostu gospodarczego.</w:t>
      </w:r>
    </w:p>
    <w:p w14:paraId="13998577" w14:textId="77777777" w:rsidR="007A3571" w:rsidRDefault="007A3571" w:rsidP="00BB5E30">
      <w:pPr>
        <w:spacing w:line="276" w:lineRule="auto"/>
        <w:jc w:val="both"/>
        <w:rPr>
          <w:rFonts w:cstheme="minorHAnsi"/>
          <w:b/>
          <w:bCs/>
          <w:lang w:val="pl-PL"/>
        </w:rPr>
      </w:pPr>
    </w:p>
    <w:p w14:paraId="7BD4869E" w14:textId="09AE4BC3" w:rsidR="00946067" w:rsidRDefault="00946067" w:rsidP="00BB5E30">
      <w:pPr>
        <w:spacing w:line="276" w:lineRule="auto"/>
        <w:jc w:val="both"/>
        <w:rPr>
          <w:rFonts w:cstheme="minorHAnsi"/>
          <w:b/>
          <w:bCs/>
          <w:lang w:val="pl-PL"/>
        </w:rPr>
      </w:pPr>
      <w:r>
        <w:rPr>
          <w:rFonts w:cstheme="minorHAnsi"/>
          <w:b/>
          <w:bCs/>
          <w:lang w:val="pl-PL"/>
        </w:rPr>
        <w:t>Dobre nastroje w strefie euro</w:t>
      </w:r>
    </w:p>
    <w:p w14:paraId="59639E40" w14:textId="5B24800C" w:rsidR="001513F3" w:rsidRDefault="001513F3" w:rsidP="00BB5E30">
      <w:p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W</w:t>
      </w:r>
      <w:r w:rsidR="00B455A8" w:rsidRPr="00B455A8">
        <w:rPr>
          <w:rFonts w:cstheme="minorHAnsi"/>
          <w:lang w:val="pl-PL"/>
        </w:rPr>
        <w:t xml:space="preserve"> związku z kontynuacją</w:t>
      </w:r>
      <w:r w:rsidR="00553CA2">
        <w:rPr>
          <w:rFonts w:cstheme="minorHAnsi"/>
          <w:lang w:val="pl-PL"/>
        </w:rPr>
        <w:t xml:space="preserve"> </w:t>
      </w:r>
      <w:r w:rsidR="00B455A8" w:rsidRPr="00B455A8">
        <w:rPr>
          <w:rFonts w:cstheme="minorHAnsi"/>
          <w:lang w:val="pl-PL"/>
        </w:rPr>
        <w:t>szczepień oraz dobrą sytuacją w Europie, w nadchodzących miesiącach można spodziewać się znoszenia kolejnych obostrzeń</w:t>
      </w:r>
      <w:r w:rsidR="00A2750A">
        <w:rPr>
          <w:rFonts w:cstheme="minorHAnsi"/>
          <w:lang w:val="pl-PL"/>
        </w:rPr>
        <w:t xml:space="preserve">, </w:t>
      </w:r>
      <w:r w:rsidR="00AD1139">
        <w:rPr>
          <w:rFonts w:cstheme="minorHAnsi"/>
          <w:lang w:val="pl-PL"/>
        </w:rPr>
        <w:t xml:space="preserve">a </w:t>
      </w:r>
      <w:r w:rsidR="00A2750A">
        <w:rPr>
          <w:rFonts w:cstheme="minorHAnsi"/>
          <w:lang w:val="pl-PL"/>
        </w:rPr>
        <w:t xml:space="preserve">co </w:t>
      </w:r>
      <w:r w:rsidR="00AD1139">
        <w:rPr>
          <w:rFonts w:cstheme="minorHAnsi"/>
          <w:lang w:val="pl-PL"/>
        </w:rPr>
        <w:t xml:space="preserve">za tym idzie, większego optymizmu </w:t>
      </w:r>
      <w:r w:rsidR="00A2750A">
        <w:rPr>
          <w:rFonts w:cstheme="minorHAnsi"/>
          <w:lang w:val="pl-PL"/>
        </w:rPr>
        <w:t>wśród społeczeństwa</w:t>
      </w:r>
      <w:r w:rsidR="00AF1955">
        <w:rPr>
          <w:rFonts w:cstheme="minorHAnsi"/>
          <w:lang w:val="pl-PL"/>
        </w:rPr>
        <w:t xml:space="preserve">. </w:t>
      </w:r>
      <w:r w:rsidR="00F0735B">
        <w:rPr>
          <w:rFonts w:cstheme="minorHAnsi"/>
          <w:lang w:val="pl-PL"/>
        </w:rPr>
        <w:t>Według e</w:t>
      </w:r>
      <w:r w:rsidR="00FE2D09" w:rsidRPr="00FE2D09">
        <w:rPr>
          <w:rFonts w:cstheme="minorHAnsi"/>
          <w:lang w:val="pl-PL"/>
        </w:rPr>
        <w:t>uropejski</w:t>
      </w:r>
      <w:r w:rsidR="00F0735B">
        <w:rPr>
          <w:rFonts w:cstheme="minorHAnsi"/>
          <w:lang w:val="pl-PL"/>
        </w:rPr>
        <w:t>ego</w:t>
      </w:r>
      <w:r w:rsidR="00FE2D09" w:rsidRPr="00FE2D09">
        <w:rPr>
          <w:rFonts w:cstheme="minorHAnsi"/>
          <w:lang w:val="pl-PL"/>
        </w:rPr>
        <w:t xml:space="preserve"> wskaźnik</w:t>
      </w:r>
      <w:r w:rsidR="00F0735B">
        <w:rPr>
          <w:rFonts w:cstheme="minorHAnsi"/>
          <w:lang w:val="pl-PL"/>
        </w:rPr>
        <w:t>a</w:t>
      </w:r>
      <w:r w:rsidR="00FE2D09" w:rsidRPr="00FE2D09">
        <w:rPr>
          <w:rFonts w:cstheme="minorHAnsi"/>
          <w:lang w:val="pl-PL"/>
        </w:rPr>
        <w:t xml:space="preserve"> nastrojów (ESI)</w:t>
      </w:r>
      <w:r w:rsidR="00FE2D09">
        <w:rPr>
          <w:rFonts w:cstheme="minorHAnsi"/>
          <w:lang w:val="pl-PL"/>
        </w:rPr>
        <w:t>, obliczan</w:t>
      </w:r>
      <w:r w:rsidR="00F0735B">
        <w:rPr>
          <w:rFonts w:cstheme="minorHAnsi"/>
          <w:lang w:val="pl-PL"/>
        </w:rPr>
        <w:t>ego</w:t>
      </w:r>
      <w:r w:rsidR="00FE2D09">
        <w:rPr>
          <w:rFonts w:cstheme="minorHAnsi"/>
          <w:lang w:val="pl-PL"/>
        </w:rPr>
        <w:t xml:space="preserve"> przez Komisję Europejską,</w:t>
      </w:r>
      <w:r w:rsidR="00F0735B">
        <w:rPr>
          <w:rFonts w:cstheme="minorHAnsi"/>
          <w:lang w:val="pl-PL"/>
        </w:rPr>
        <w:t xml:space="preserve"> n</w:t>
      </w:r>
      <w:r w:rsidR="00F0735B" w:rsidRPr="00B455A8">
        <w:rPr>
          <w:rFonts w:cstheme="minorHAnsi"/>
          <w:lang w:val="pl-PL"/>
        </w:rPr>
        <w:t xml:space="preserve">astroje </w:t>
      </w:r>
      <w:r w:rsidR="00F0735B">
        <w:rPr>
          <w:rFonts w:cstheme="minorHAnsi"/>
          <w:lang w:val="pl-PL"/>
        </w:rPr>
        <w:t xml:space="preserve">Europejczyków </w:t>
      </w:r>
      <w:r w:rsidR="00F0735B" w:rsidRPr="00B455A8">
        <w:rPr>
          <w:rFonts w:cstheme="minorHAnsi"/>
          <w:lang w:val="pl-PL"/>
        </w:rPr>
        <w:t>utrzymują się na wysokim poziomie</w:t>
      </w:r>
      <w:r w:rsidR="00F0735B">
        <w:rPr>
          <w:rFonts w:cstheme="minorHAnsi"/>
          <w:lang w:val="pl-PL"/>
        </w:rPr>
        <w:t>. Wskaźnik</w:t>
      </w:r>
      <w:r w:rsidR="00FE2D09" w:rsidRPr="00FE2D09">
        <w:rPr>
          <w:rFonts w:cstheme="minorHAnsi"/>
          <w:lang w:val="pl-PL"/>
        </w:rPr>
        <w:t xml:space="preserve"> poprawił się w lipcu </w:t>
      </w:r>
      <w:r w:rsidR="00D9576B">
        <w:rPr>
          <w:rFonts w:cstheme="minorHAnsi"/>
          <w:lang w:val="pl-PL"/>
        </w:rPr>
        <w:t xml:space="preserve">br. </w:t>
      </w:r>
      <w:r w:rsidR="00CF5E85">
        <w:rPr>
          <w:rFonts w:cstheme="minorHAnsi"/>
          <w:lang w:val="pl-PL"/>
        </w:rPr>
        <w:t>i wyniósł</w:t>
      </w:r>
      <w:r w:rsidR="007979CB">
        <w:rPr>
          <w:rFonts w:cstheme="minorHAnsi"/>
          <w:lang w:val="pl-PL"/>
        </w:rPr>
        <w:t xml:space="preserve"> </w:t>
      </w:r>
      <w:r w:rsidR="00FE2D09" w:rsidRPr="00FE2D09">
        <w:rPr>
          <w:rFonts w:cstheme="minorHAnsi"/>
          <w:lang w:val="pl-PL"/>
        </w:rPr>
        <w:t>118,9, czyli znacznie powyżej neutralnego poziomu 100.</w:t>
      </w:r>
    </w:p>
    <w:p w14:paraId="197A80AE" w14:textId="3BC1E8AB" w:rsidR="00EA5EEF" w:rsidRDefault="00EA5EEF" w:rsidP="00BB5E30">
      <w:pPr>
        <w:spacing w:line="276" w:lineRule="auto"/>
        <w:jc w:val="both"/>
        <w:rPr>
          <w:rFonts w:cstheme="minorHAnsi"/>
          <w:b/>
          <w:bCs/>
          <w:lang w:val="pl-PL"/>
        </w:rPr>
      </w:pPr>
    </w:p>
    <w:p w14:paraId="1907AA96" w14:textId="5768D9EC" w:rsidR="00BE6F30" w:rsidRPr="001A1DA0" w:rsidRDefault="00120876" w:rsidP="00BB5E30">
      <w:pPr>
        <w:spacing w:line="276" w:lineRule="auto"/>
        <w:jc w:val="both"/>
        <w:rPr>
          <w:rFonts w:cstheme="minorHAnsi"/>
          <w:lang w:val="pl-PL"/>
        </w:rPr>
      </w:pPr>
      <w:r w:rsidRPr="001A1DA0">
        <w:rPr>
          <w:rFonts w:cstheme="minorHAnsi"/>
          <w:lang w:val="pl-PL"/>
        </w:rPr>
        <w:t>W strefie euro wzrosła stopa inflacji, osiągając</w:t>
      </w:r>
      <w:r w:rsidR="009F0B83" w:rsidRPr="001A1DA0">
        <w:rPr>
          <w:rFonts w:cstheme="minorHAnsi"/>
          <w:lang w:val="pl-PL"/>
        </w:rPr>
        <w:t xml:space="preserve"> </w:t>
      </w:r>
      <w:r w:rsidR="00DB50F6" w:rsidRPr="001A1DA0">
        <w:rPr>
          <w:rFonts w:cstheme="minorHAnsi"/>
          <w:lang w:val="pl-PL"/>
        </w:rPr>
        <w:t xml:space="preserve">w maju </w:t>
      </w:r>
      <w:r w:rsidRPr="001A1DA0">
        <w:rPr>
          <w:rFonts w:cstheme="minorHAnsi"/>
          <w:lang w:val="pl-PL"/>
        </w:rPr>
        <w:t>2</w:t>
      </w:r>
      <w:r w:rsidR="009F0B83" w:rsidRPr="001A1DA0">
        <w:rPr>
          <w:rFonts w:cstheme="minorHAnsi"/>
          <w:lang w:val="pl-PL"/>
        </w:rPr>
        <w:t xml:space="preserve"> proc.</w:t>
      </w:r>
      <w:r w:rsidRPr="001A1DA0">
        <w:rPr>
          <w:rFonts w:cstheme="minorHAnsi"/>
          <w:lang w:val="pl-PL"/>
        </w:rPr>
        <w:t xml:space="preserve"> r/r</w:t>
      </w:r>
      <w:r w:rsidR="009F0B83" w:rsidRPr="001A1DA0">
        <w:rPr>
          <w:rFonts w:cstheme="minorHAnsi"/>
          <w:lang w:val="pl-PL"/>
        </w:rPr>
        <w:t xml:space="preserve">, czyli najwyższy poziom od końca 2018 roku. </w:t>
      </w:r>
      <w:r w:rsidR="009A4D73" w:rsidRPr="001A1DA0">
        <w:rPr>
          <w:rFonts w:cstheme="minorHAnsi"/>
          <w:lang w:val="pl-PL"/>
        </w:rPr>
        <w:t xml:space="preserve">Mimo to oczekuje się, że Europejski Bank Centralny będzie kontynuował swoją politykę monetarną. </w:t>
      </w:r>
      <w:r w:rsidR="001A1DA0" w:rsidRPr="001A1DA0">
        <w:rPr>
          <w:rFonts w:cstheme="minorHAnsi"/>
          <w:lang w:val="pl-PL"/>
        </w:rPr>
        <w:t xml:space="preserve">Eksperci Atradius nie przewidują, by </w:t>
      </w:r>
      <w:r w:rsidR="009C7956">
        <w:rPr>
          <w:rFonts w:cstheme="minorHAnsi"/>
          <w:lang w:val="pl-PL"/>
        </w:rPr>
        <w:t>EBC</w:t>
      </w:r>
      <w:r w:rsidR="009A4D73" w:rsidRPr="001A1DA0">
        <w:rPr>
          <w:rFonts w:cstheme="minorHAnsi"/>
          <w:lang w:val="pl-PL"/>
        </w:rPr>
        <w:t xml:space="preserve"> podniósł stopy procentowe przed połową 2024 roku.</w:t>
      </w:r>
    </w:p>
    <w:p w14:paraId="3A88ACF3" w14:textId="77777777" w:rsidR="00BE6F30" w:rsidRDefault="00BE6F30" w:rsidP="00BB5E30">
      <w:pPr>
        <w:spacing w:line="276" w:lineRule="auto"/>
        <w:jc w:val="both"/>
        <w:rPr>
          <w:rFonts w:cstheme="minorHAnsi"/>
          <w:b/>
          <w:bCs/>
          <w:lang w:val="pl-PL"/>
        </w:rPr>
      </w:pPr>
    </w:p>
    <w:p w14:paraId="6E366790" w14:textId="51903A1D" w:rsidR="00946067" w:rsidRDefault="00946067" w:rsidP="00BB5E30">
      <w:pPr>
        <w:spacing w:line="276" w:lineRule="auto"/>
        <w:jc w:val="both"/>
        <w:rPr>
          <w:rFonts w:cstheme="minorHAnsi"/>
          <w:b/>
          <w:bCs/>
          <w:lang w:val="pl-PL"/>
        </w:rPr>
      </w:pPr>
      <w:r>
        <w:rPr>
          <w:rFonts w:cstheme="minorHAnsi"/>
          <w:b/>
          <w:bCs/>
          <w:lang w:val="pl-PL"/>
        </w:rPr>
        <w:t>L</w:t>
      </w:r>
      <w:r w:rsidRPr="00946067">
        <w:rPr>
          <w:rFonts w:cstheme="minorHAnsi"/>
          <w:b/>
          <w:bCs/>
          <w:lang w:val="pl-PL"/>
        </w:rPr>
        <w:t>iczb</w:t>
      </w:r>
      <w:r>
        <w:rPr>
          <w:rFonts w:cstheme="minorHAnsi"/>
          <w:b/>
          <w:bCs/>
          <w:lang w:val="pl-PL"/>
        </w:rPr>
        <w:t>a</w:t>
      </w:r>
      <w:r w:rsidRPr="00946067">
        <w:rPr>
          <w:rFonts w:cstheme="minorHAnsi"/>
          <w:b/>
          <w:bCs/>
          <w:lang w:val="pl-PL"/>
        </w:rPr>
        <w:t xml:space="preserve"> niewypłacalności</w:t>
      </w:r>
      <w:r>
        <w:rPr>
          <w:rFonts w:cstheme="minorHAnsi"/>
          <w:b/>
          <w:bCs/>
          <w:lang w:val="pl-PL"/>
        </w:rPr>
        <w:t xml:space="preserve"> będzie rosnąć</w:t>
      </w:r>
    </w:p>
    <w:p w14:paraId="33AE79FB" w14:textId="53272268" w:rsidR="00D62ECE" w:rsidRPr="00F21D0A" w:rsidRDefault="00D62ECE" w:rsidP="00D62ECE">
      <w:pPr>
        <w:spacing w:line="276" w:lineRule="auto"/>
        <w:jc w:val="both"/>
        <w:rPr>
          <w:rFonts w:cstheme="minorHAnsi"/>
          <w:lang w:val="pl-PL"/>
        </w:rPr>
      </w:pPr>
      <w:r w:rsidRPr="00F21D0A">
        <w:rPr>
          <w:rFonts w:cstheme="minorHAnsi"/>
          <w:lang w:val="pl-PL"/>
        </w:rPr>
        <w:t>Powszechnie oczekiwany wzrost liczby upadłości, któr</w:t>
      </w:r>
      <w:r w:rsidR="00DD32EE">
        <w:rPr>
          <w:rFonts w:cstheme="minorHAnsi"/>
          <w:lang w:val="pl-PL"/>
        </w:rPr>
        <w:t>y zapowiadano n</w:t>
      </w:r>
      <w:r w:rsidRPr="00F21D0A">
        <w:rPr>
          <w:rFonts w:cstheme="minorHAnsi"/>
          <w:lang w:val="pl-PL"/>
        </w:rPr>
        <w:t xml:space="preserve">a początku pandemii, nie </w:t>
      </w:r>
      <w:r w:rsidR="00F21D0A" w:rsidRPr="00F21D0A">
        <w:rPr>
          <w:rFonts w:cstheme="minorHAnsi"/>
          <w:lang w:val="pl-PL"/>
        </w:rPr>
        <w:t>nastąpił</w:t>
      </w:r>
      <w:r w:rsidRPr="00F21D0A">
        <w:rPr>
          <w:rFonts w:cstheme="minorHAnsi"/>
          <w:lang w:val="pl-PL"/>
        </w:rPr>
        <w:t xml:space="preserve"> w 2020 roku. </w:t>
      </w:r>
      <w:r w:rsidR="00C75EEC">
        <w:rPr>
          <w:rFonts w:cstheme="minorHAnsi"/>
          <w:lang w:val="pl-PL"/>
        </w:rPr>
        <w:t>Choć wiele przedsiębiorstw borykało się z zatorami płatniczymi, n</w:t>
      </w:r>
      <w:r w:rsidRPr="00F21D0A">
        <w:rPr>
          <w:rFonts w:cstheme="minorHAnsi"/>
          <w:lang w:val="pl-PL"/>
        </w:rPr>
        <w:t xml:space="preserve">a większości </w:t>
      </w:r>
      <w:r w:rsidRPr="00F21D0A">
        <w:rPr>
          <w:rFonts w:cstheme="minorHAnsi"/>
          <w:lang w:val="pl-PL"/>
        </w:rPr>
        <w:lastRenderedPageBreak/>
        <w:t xml:space="preserve">rynków liczba upadłości firm </w:t>
      </w:r>
      <w:r w:rsidR="00EA1569">
        <w:rPr>
          <w:rFonts w:cstheme="minorHAnsi"/>
          <w:lang w:val="pl-PL"/>
        </w:rPr>
        <w:t>zmalała</w:t>
      </w:r>
      <w:r w:rsidR="00852100">
        <w:rPr>
          <w:rFonts w:cstheme="minorHAnsi"/>
          <w:lang w:val="pl-PL"/>
        </w:rPr>
        <w:t xml:space="preserve"> – g</w:t>
      </w:r>
      <w:r w:rsidRPr="00F21D0A">
        <w:rPr>
          <w:rFonts w:cstheme="minorHAnsi"/>
          <w:lang w:val="pl-PL"/>
        </w:rPr>
        <w:t>lobalny spadek wyniósł 14</w:t>
      </w:r>
      <w:r w:rsidR="00F21D0A" w:rsidRPr="00F21D0A">
        <w:rPr>
          <w:rFonts w:cstheme="minorHAnsi"/>
          <w:lang w:val="pl-PL"/>
        </w:rPr>
        <w:t xml:space="preserve"> proc.</w:t>
      </w:r>
      <w:r w:rsidRPr="00F21D0A">
        <w:rPr>
          <w:rFonts w:cstheme="minorHAnsi"/>
          <w:lang w:val="pl-PL"/>
        </w:rPr>
        <w:t xml:space="preserve"> </w:t>
      </w:r>
      <w:r w:rsidR="005366C8">
        <w:rPr>
          <w:rFonts w:cstheme="minorHAnsi"/>
          <w:lang w:val="pl-PL"/>
        </w:rPr>
        <w:t>i b</w:t>
      </w:r>
      <w:r w:rsidR="00EA1569">
        <w:rPr>
          <w:rFonts w:cstheme="minorHAnsi"/>
          <w:lang w:val="pl-PL"/>
        </w:rPr>
        <w:t xml:space="preserve">ył </w:t>
      </w:r>
      <w:r w:rsidRPr="00F21D0A">
        <w:rPr>
          <w:rFonts w:cstheme="minorHAnsi"/>
          <w:lang w:val="pl-PL"/>
        </w:rPr>
        <w:t xml:space="preserve">szczególnie </w:t>
      </w:r>
      <w:r w:rsidR="00F21D0A">
        <w:rPr>
          <w:rFonts w:cstheme="minorHAnsi"/>
          <w:lang w:val="pl-PL"/>
        </w:rPr>
        <w:t>odczuwalny</w:t>
      </w:r>
      <w:r w:rsidRPr="00F21D0A">
        <w:rPr>
          <w:rFonts w:cstheme="minorHAnsi"/>
          <w:lang w:val="pl-PL"/>
        </w:rPr>
        <w:t xml:space="preserve"> w Europie </w:t>
      </w:r>
      <w:r w:rsidR="00CA7AB3">
        <w:rPr>
          <w:rFonts w:cstheme="minorHAnsi"/>
          <w:lang w:val="pl-PL"/>
        </w:rPr>
        <w:t>oraz</w:t>
      </w:r>
      <w:r w:rsidRPr="00F21D0A">
        <w:rPr>
          <w:rFonts w:cstheme="minorHAnsi"/>
          <w:lang w:val="pl-PL"/>
        </w:rPr>
        <w:t xml:space="preserve"> Azji, a nieco </w:t>
      </w:r>
      <w:r w:rsidR="00F21D0A">
        <w:rPr>
          <w:rFonts w:cstheme="minorHAnsi"/>
          <w:lang w:val="pl-PL"/>
        </w:rPr>
        <w:t>mniej</w:t>
      </w:r>
      <w:r w:rsidRPr="00F21D0A">
        <w:rPr>
          <w:rFonts w:cstheme="minorHAnsi"/>
          <w:lang w:val="pl-PL"/>
        </w:rPr>
        <w:t xml:space="preserve"> w Ameryce Północnej.</w:t>
      </w:r>
      <w:r w:rsidR="00FB41D6" w:rsidRPr="00FB41D6">
        <w:rPr>
          <w:lang w:val="pl-PL"/>
        </w:rPr>
        <w:t xml:space="preserve"> </w:t>
      </w:r>
      <w:r w:rsidR="00FB41D6" w:rsidRPr="00FB41D6">
        <w:rPr>
          <w:rFonts w:cstheme="minorHAnsi"/>
          <w:lang w:val="pl-PL"/>
        </w:rPr>
        <w:t>Za spadek odpowiedzialn</w:t>
      </w:r>
      <w:r w:rsidR="009D0D2C">
        <w:rPr>
          <w:rFonts w:cstheme="minorHAnsi"/>
          <w:lang w:val="pl-PL"/>
        </w:rPr>
        <w:t>a</w:t>
      </w:r>
      <w:r w:rsidR="00FB41D6" w:rsidRPr="00FB41D6">
        <w:rPr>
          <w:rFonts w:cstheme="minorHAnsi"/>
          <w:lang w:val="pl-PL"/>
        </w:rPr>
        <w:t xml:space="preserve"> </w:t>
      </w:r>
      <w:r w:rsidR="00CA7AB3">
        <w:rPr>
          <w:rFonts w:cstheme="minorHAnsi"/>
          <w:lang w:val="pl-PL"/>
        </w:rPr>
        <w:t>był</w:t>
      </w:r>
      <w:r w:rsidR="009D0D2C">
        <w:rPr>
          <w:rFonts w:cstheme="minorHAnsi"/>
          <w:lang w:val="pl-PL"/>
        </w:rPr>
        <w:t>a nowa polityka państw w reakcji na kryzys</w:t>
      </w:r>
      <w:r w:rsidR="00FB41D6" w:rsidRPr="00FB41D6">
        <w:rPr>
          <w:rFonts w:cstheme="minorHAnsi"/>
          <w:lang w:val="pl-PL"/>
        </w:rPr>
        <w:t xml:space="preserve">. </w:t>
      </w:r>
      <w:r w:rsidR="00B21B5D">
        <w:rPr>
          <w:rFonts w:cstheme="minorHAnsi"/>
          <w:lang w:val="pl-PL"/>
        </w:rPr>
        <w:t>A</w:t>
      </w:r>
      <w:r w:rsidR="00B21B5D" w:rsidRPr="00FB41D6">
        <w:rPr>
          <w:rFonts w:cstheme="minorHAnsi"/>
          <w:lang w:val="pl-PL"/>
        </w:rPr>
        <w:t>by chronić przedsiębiorstwa przed upadłością</w:t>
      </w:r>
      <w:r w:rsidR="00B21B5D">
        <w:rPr>
          <w:rFonts w:cstheme="minorHAnsi"/>
          <w:lang w:val="pl-PL"/>
        </w:rPr>
        <w:t>,</w:t>
      </w:r>
      <w:r w:rsidR="00B21B5D" w:rsidRPr="00FB41D6">
        <w:rPr>
          <w:rFonts w:cstheme="minorHAnsi"/>
          <w:lang w:val="pl-PL"/>
        </w:rPr>
        <w:t xml:space="preserve"> </w:t>
      </w:r>
      <w:r w:rsidR="00FB41D6" w:rsidRPr="00FB41D6">
        <w:rPr>
          <w:rFonts w:cstheme="minorHAnsi"/>
          <w:lang w:val="pl-PL"/>
        </w:rPr>
        <w:t xml:space="preserve">rządy udzieliły </w:t>
      </w:r>
      <w:r w:rsidR="00B21B5D">
        <w:rPr>
          <w:rFonts w:cstheme="minorHAnsi"/>
          <w:lang w:val="pl-PL"/>
        </w:rPr>
        <w:t>firmom</w:t>
      </w:r>
      <w:r w:rsidR="009D0D2C">
        <w:rPr>
          <w:rFonts w:cstheme="minorHAnsi"/>
          <w:lang w:val="pl-PL"/>
        </w:rPr>
        <w:t xml:space="preserve"> </w:t>
      </w:r>
      <w:r w:rsidR="00FB41D6" w:rsidRPr="00FB41D6">
        <w:rPr>
          <w:rFonts w:cstheme="minorHAnsi"/>
          <w:lang w:val="pl-PL"/>
        </w:rPr>
        <w:t xml:space="preserve">wsparcia fiskalnego, </w:t>
      </w:r>
      <w:r w:rsidR="00B21B5D">
        <w:rPr>
          <w:rFonts w:cstheme="minorHAnsi"/>
          <w:lang w:val="pl-PL"/>
        </w:rPr>
        <w:t xml:space="preserve">jak również </w:t>
      </w:r>
      <w:r w:rsidR="00F64023">
        <w:rPr>
          <w:rFonts w:cstheme="minorHAnsi"/>
          <w:lang w:val="pl-PL"/>
        </w:rPr>
        <w:t xml:space="preserve">zmieniły </w:t>
      </w:r>
      <w:r w:rsidR="000A319F">
        <w:rPr>
          <w:rFonts w:cstheme="minorHAnsi"/>
          <w:lang w:val="pl-PL"/>
        </w:rPr>
        <w:t>zasady postępowań</w:t>
      </w:r>
      <w:r w:rsidR="00FB41D6" w:rsidRPr="00FB41D6">
        <w:rPr>
          <w:rFonts w:cstheme="minorHAnsi"/>
          <w:lang w:val="pl-PL"/>
        </w:rPr>
        <w:t xml:space="preserve"> upadłościow</w:t>
      </w:r>
      <w:r w:rsidR="000A319F">
        <w:rPr>
          <w:rFonts w:cstheme="minorHAnsi"/>
          <w:lang w:val="pl-PL"/>
        </w:rPr>
        <w:t>ych.</w:t>
      </w:r>
    </w:p>
    <w:p w14:paraId="478A4F8D" w14:textId="77777777" w:rsidR="00D62ECE" w:rsidRPr="00D62ECE" w:rsidRDefault="00D62ECE" w:rsidP="00D62ECE">
      <w:pPr>
        <w:spacing w:line="276" w:lineRule="auto"/>
        <w:jc w:val="both"/>
        <w:rPr>
          <w:rFonts w:cstheme="minorHAnsi"/>
          <w:b/>
          <w:bCs/>
          <w:lang w:val="pl-PL"/>
        </w:rPr>
      </w:pPr>
    </w:p>
    <w:p w14:paraId="0417A200" w14:textId="62DDFEE8" w:rsidR="00BB5E30" w:rsidRDefault="000C1756" w:rsidP="00BB5E30">
      <w:p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Atradius </w:t>
      </w:r>
      <w:r w:rsidR="002C2E57">
        <w:rPr>
          <w:rFonts w:cstheme="minorHAnsi"/>
          <w:lang w:val="pl-PL"/>
        </w:rPr>
        <w:t>prognozuje</w:t>
      </w:r>
      <w:r w:rsidR="00B84684" w:rsidRPr="00B84684">
        <w:rPr>
          <w:rFonts w:cstheme="minorHAnsi"/>
          <w:lang w:val="pl-PL"/>
        </w:rPr>
        <w:t xml:space="preserve"> odwróceni</w:t>
      </w:r>
      <w:r w:rsidR="002C2E57">
        <w:rPr>
          <w:rFonts w:cstheme="minorHAnsi"/>
          <w:lang w:val="pl-PL"/>
        </w:rPr>
        <w:t>e</w:t>
      </w:r>
      <w:r w:rsidR="00B84684" w:rsidRPr="00B84684">
        <w:rPr>
          <w:rFonts w:cstheme="minorHAnsi"/>
          <w:lang w:val="pl-PL"/>
        </w:rPr>
        <w:t xml:space="preserve"> sytuacji i wzrost liczby niewypłacalności na świecie o</w:t>
      </w:r>
      <w:r w:rsidR="00D363DE">
        <w:rPr>
          <w:rFonts w:cstheme="minorHAnsi"/>
          <w:lang w:val="pl-PL"/>
        </w:rPr>
        <w:t> </w:t>
      </w:r>
      <w:r w:rsidR="00B84684" w:rsidRPr="00B84684">
        <w:rPr>
          <w:rFonts w:cstheme="minorHAnsi"/>
          <w:lang w:val="pl-PL"/>
        </w:rPr>
        <w:t>12</w:t>
      </w:r>
      <w:r w:rsidR="00565BCF">
        <w:rPr>
          <w:rFonts w:cstheme="minorHAnsi"/>
          <w:lang w:val="pl-PL"/>
        </w:rPr>
        <w:t xml:space="preserve"> proc.</w:t>
      </w:r>
      <w:r>
        <w:rPr>
          <w:rFonts w:cstheme="minorHAnsi"/>
          <w:lang w:val="pl-PL"/>
        </w:rPr>
        <w:t xml:space="preserve"> </w:t>
      </w:r>
      <w:r w:rsidR="003214A1">
        <w:rPr>
          <w:rFonts w:cstheme="minorHAnsi"/>
          <w:lang w:val="pl-PL"/>
        </w:rPr>
        <w:t xml:space="preserve">do końca </w:t>
      </w:r>
      <w:r>
        <w:rPr>
          <w:rFonts w:cstheme="minorHAnsi"/>
          <w:lang w:val="pl-PL"/>
        </w:rPr>
        <w:t>2021 roku</w:t>
      </w:r>
      <w:r w:rsidR="00B84684" w:rsidRPr="00B84684">
        <w:rPr>
          <w:rFonts w:cstheme="minorHAnsi"/>
          <w:lang w:val="pl-PL"/>
        </w:rPr>
        <w:t>. Trwając</w:t>
      </w:r>
      <w:r w:rsidR="00433F04">
        <w:rPr>
          <w:rFonts w:cstheme="minorHAnsi"/>
          <w:lang w:val="pl-PL"/>
        </w:rPr>
        <w:t xml:space="preserve">e </w:t>
      </w:r>
      <w:r w:rsidR="00B84684" w:rsidRPr="00B84684">
        <w:rPr>
          <w:rFonts w:cstheme="minorHAnsi"/>
          <w:lang w:val="pl-PL"/>
        </w:rPr>
        <w:t>łagodzenie</w:t>
      </w:r>
      <w:r w:rsidR="00457219">
        <w:rPr>
          <w:rFonts w:cstheme="minorHAnsi"/>
          <w:lang w:val="pl-PL"/>
        </w:rPr>
        <w:t xml:space="preserve"> ograniczeń </w:t>
      </w:r>
      <w:r w:rsidR="00B84684" w:rsidRPr="00B84684">
        <w:rPr>
          <w:rFonts w:cstheme="minorHAnsi"/>
          <w:lang w:val="pl-PL"/>
        </w:rPr>
        <w:t xml:space="preserve">prowadzi do stopniowego powrotu gospodarki do normalności. </w:t>
      </w:r>
      <w:r w:rsidR="003214A1">
        <w:rPr>
          <w:rFonts w:cstheme="minorHAnsi"/>
          <w:lang w:val="pl-PL"/>
        </w:rPr>
        <w:t>W</w:t>
      </w:r>
      <w:r w:rsidR="00B84684" w:rsidRPr="00B84684">
        <w:rPr>
          <w:rFonts w:cstheme="minorHAnsi"/>
          <w:lang w:val="pl-PL"/>
        </w:rPr>
        <w:t xml:space="preserve"> większości krajów będzie to prawdopodobnie skutkowało wycofywaniem wsparcia fiskalnego i </w:t>
      </w:r>
      <w:r w:rsidR="000A2646">
        <w:rPr>
          <w:rFonts w:cstheme="minorHAnsi"/>
          <w:lang w:val="pl-PL"/>
        </w:rPr>
        <w:t xml:space="preserve">powrotem do </w:t>
      </w:r>
      <w:r w:rsidR="002C2E57">
        <w:rPr>
          <w:rFonts w:cstheme="minorHAnsi"/>
          <w:lang w:val="pl-PL"/>
        </w:rPr>
        <w:t>starych</w:t>
      </w:r>
      <w:r w:rsidR="00222D5B">
        <w:rPr>
          <w:rFonts w:cstheme="minorHAnsi"/>
          <w:lang w:val="pl-PL"/>
        </w:rPr>
        <w:t xml:space="preserve"> zasad </w:t>
      </w:r>
      <w:r w:rsidR="00D363DE">
        <w:rPr>
          <w:rFonts w:cstheme="minorHAnsi"/>
          <w:lang w:val="pl-PL"/>
        </w:rPr>
        <w:t xml:space="preserve">postepowań </w:t>
      </w:r>
      <w:r w:rsidR="00222D5B">
        <w:rPr>
          <w:rFonts w:cstheme="minorHAnsi"/>
          <w:lang w:val="pl-PL"/>
        </w:rPr>
        <w:t>u</w:t>
      </w:r>
      <w:r w:rsidR="00B84684" w:rsidRPr="00B84684">
        <w:rPr>
          <w:rFonts w:cstheme="minorHAnsi"/>
          <w:lang w:val="pl-PL"/>
        </w:rPr>
        <w:t xml:space="preserve">padłościowych. </w:t>
      </w:r>
      <w:r w:rsidR="00B238EA">
        <w:rPr>
          <w:rFonts w:cstheme="minorHAnsi"/>
          <w:lang w:val="pl-PL"/>
        </w:rPr>
        <w:t>Z</w:t>
      </w:r>
      <w:r w:rsidR="00D363DE">
        <w:rPr>
          <w:rFonts w:cstheme="minorHAnsi"/>
          <w:lang w:val="pl-PL"/>
        </w:rPr>
        <w:t> </w:t>
      </w:r>
      <w:r w:rsidR="00B238EA" w:rsidRPr="00B84684">
        <w:rPr>
          <w:rFonts w:cstheme="minorHAnsi"/>
          <w:lang w:val="pl-PL"/>
        </w:rPr>
        <w:t>wyjątkiem Australii, Japonii i</w:t>
      </w:r>
      <w:r w:rsidR="0095104E">
        <w:rPr>
          <w:rFonts w:cstheme="minorHAnsi"/>
          <w:lang w:val="pl-PL"/>
        </w:rPr>
        <w:t> </w:t>
      </w:r>
      <w:r w:rsidR="00B238EA" w:rsidRPr="00B84684">
        <w:rPr>
          <w:rFonts w:cstheme="minorHAnsi"/>
          <w:lang w:val="pl-PL"/>
        </w:rPr>
        <w:t>Szwecji</w:t>
      </w:r>
      <w:r w:rsidR="00B238EA">
        <w:rPr>
          <w:rFonts w:cstheme="minorHAnsi"/>
          <w:lang w:val="pl-PL"/>
        </w:rPr>
        <w:t xml:space="preserve">, które </w:t>
      </w:r>
      <w:r w:rsidR="00AB5141">
        <w:rPr>
          <w:rFonts w:cstheme="minorHAnsi"/>
          <w:lang w:val="pl-PL"/>
        </w:rPr>
        <w:t>wciąż utrzymują bardzo niski poziom niewypłacalności, w</w:t>
      </w:r>
      <w:r w:rsidR="00B84684" w:rsidRPr="00B84684">
        <w:rPr>
          <w:rFonts w:cstheme="minorHAnsi"/>
          <w:lang w:val="pl-PL"/>
        </w:rPr>
        <w:t>iększość rynków odnotuje w</w:t>
      </w:r>
      <w:r w:rsidR="0095104E">
        <w:rPr>
          <w:rFonts w:cstheme="minorHAnsi"/>
          <w:lang w:val="pl-PL"/>
        </w:rPr>
        <w:t> </w:t>
      </w:r>
      <w:r w:rsidR="00B84684" w:rsidRPr="00B84684">
        <w:rPr>
          <w:rFonts w:cstheme="minorHAnsi"/>
          <w:lang w:val="pl-PL"/>
        </w:rPr>
        <w:t>tym roku wzrost liczby upadłości przedsiębiorstw</w:t>
      </w:r>
      <w:r w:rsidR="00AB5141">
        <w:rPr>
          <w:rFonts w:cstheme="minorHAnsi"/>
          <w:lang w:val="pl-PL"/>
        </w:rPr>
        <w:t>.</w:t>
      </w:r>
    </w:p>
    <w:p w14:paraId="56156106" w14:textId="7DAC798C" w:rsidR="00BB5E30" w:rsidRDefault="00BB5E30" w:rsidP="00BB5E30">
      <w:pPr>
        <w:spacing w:line="276" w:lineRule="auto"/>
        <w:jc w:val="both"/>
        <w:rPr>
          <w:rFonts w:cstheme="minorHAnsi"/>
          <w:noProof/>
          <w:lang w:val="pl-PL"/>
        </w:rPr>
      </w:pPr>
    </w:p>
    <w:p w14:paraId="5CBFF83B" w14:textId="77777777" w:rsidR="00984B81" w:rsidRPr="00504A5B" w:rsidRDefault="00984B81" w:rsidP="00BB5E30">
      <w:pPr>
        <w:spacing w:line="276" w:lineRule="auto"/>
        <w:jc w:val="both"/>
        <w:rPr>
          <w:rFonts w:cstheme="minorHAnsi"/>
          <w:noProof/>
          <w:lang w:val="pl-PL"/>
        </w:rPr>
      </w:pPr>
    </w:p>
    <w:p w14:paraId="0D380F01" w14:textId="77777777" w:rsidR="00BB5E30" w:rsidRPr="00504A5B" w:rsidRDefault="00BB5E30" w:rsidP="00BB5E30">
      <w:pPr>
        <w:pStyle w:val="Bezodstpw"/>
        <w:rPr>
          <w:b/>
          <w:bCs/>
          <w:u w:val="single"/>
          <w:lang w:val="pl-PL"/>
        </w:rPr>
      </w:pPr>
      <w:r w:rsidRPr="00504A5B">
        <w:rPr>
          <w:b/>
          <w:bCs/>
          <w:u w:val="single"/>
          <w:lang w:val="pl-PL"/>
        </w:rPr>
        <w:t>Dodatkowych informacji udziela:</w:t>
      </w:r>
    </w:p>
    <w:p w14:paraId="4703E094" w14:textId="77777777" w:rsidR="00BB5E30" w:rsidRDefault="00BB5E30" w:rsidP="00BB5E30">
      <w:pPr>
        <w:pStyle w:val="Bezodstpw"/>
        <w:rPr>
          <w:lang w:val="pl-PL"/>
        </w:rPr>
      </w:pPr>
      <w:r w:rsidRPr="00BB5E30">
        <w:rPr>
          <w:lang w:val="pl-PL"/>
        </w:rPr>
        <w:t xml:space="preserve">Angelika Szpręgiel </w:t>
      </w:r>
    </w:p>
    <w:p w14:paraId="4E552C8F" w14:textId="6E1F6F75" w:rsidR="00BB5E30" w:rsidRPr="00BB5E30" w:rsidRDefault="00BB5E30" w:rsidP="00BB5E30">
      <w:pPr>
        <w:pStyle w:val="Bezodstpw"/>
        <w:rPr>
          <w:lang w:val="pl-PL"/>
        </w:rPr>
      </w:pPr>
      <w:r w:rsidRPr="00BB5E30">
        <w:rPr>
          <w:lang w:val="pl-PL"/>
        </w:rPr>
        <w:t>Havas PR Warsaw</w:t>
      </w:r>
    </w:p>
    <w:p w14:paraId="349B455D" w14:textId="019FD874" w:rsidR="00BB5E30" w:rsidRPr="00C37DD7" w:rsidRDefault="00BB5E30" w:rsidP="00BB5E30">
      <w:pPr>
        <w:pStyle w:val="Bezodstpw"/>
        <w:rPr>
          <w:lang w:val="en-US"/>
        </w:rPr>
      </w:pPr>
      <w:r w:rsidRPr="00C37DD7">
        <w:rPr>
          <w:lang w:val="en-US"/>
        </w:rPr>
        <w:t>Tel: +48 502 552 334</w:t>
      </w:r>
    </w:p>
    <w:p w14:paraId="43C0CB57" w14:textId="464A9399" w:rsidR="00BB5E30" w:rsidRPr="00BB5E30" w:rsidRDefault="00BB5E30" w:rsidP="00BB5E30">
      <w:pPr>
        <w:pStyle w:val="Bezodstpw"/>
        <w:rPr>
          <w:rFonts w:cstheme="minorHAnsi"/>
          <w:color w:val="0000FF"/>
          <w:u w:val="single"/>
          <w:lang w:val="en-US"/>
        </w:rPr>
      </w:pPr>
      <w:r w:rsidRPr="00BB5E30">
        <w:rPr>
          <w:lang w:val="en-US"/>
        </w:rPr>
        <w:t xml:space="preserve">E-mail: </w:t>
      </w:r>
      <w:hyperlink r:id="rId6" w:history="1">
        <w:r w:rsidRPr="00BB5E30">
          <w:rPr>
            <w:rStyle w:val="Hipercze"/>
            <w:lang w:val="en-US"/>
          </w:rPr>
          <w:t>angelika.szpregiel@havas.com</w:t>
        </w:r>
      </w:hyperlink>
    </w:p>
    <w:p w14:paraId="5645982E" w14:textId="77777777" w:rsidR="00BB5E30" w:rsidRPr="00BB5E30" w:rsidRDefault="00BB5E30" w:rsidP="00BB5E30">
      <w:pPr>
        <w:jc w:val="both"/>
        <w:rPr>
          <w:b/>
          <w:sz w:val="18"/>
          <w:szCs w:val="18"/>
          <w:lang w:val="en-US"/>
        </w:rPr>
      </w:pPr>
    </w:p>
    <w:p w14:paraId="46EBF2CE" w14:textId="77777777" w:rsidR="00BB5E30" w:rsidRPr="00BB5E30" w:rsidRDefault="00BB5E30" w:rsidP="00BB5E30">
      <w:pPr>
        <w:jc w:val="both"/>
        <w:rPr>
          <w:b/>
          <w:sz w:val="18"/>
          <w:szCs w:val="18"/>
          <w:lang w:val="en-US"/>
        </w:rPr>
      </w:pPr>
    </w:p>
    <w:p w14:paraId="64CE975C" w14:textId="307D8D51" w:rsidR="00BB5E30" w:rsidRDefault="00BB5E30" w:rsidP="00BB5E30">
      <w:pPr>
        <w:jc w:val="both"/>
        <w:rPr>
          <w:sz w:val="18"/>
          <w:szCs w:val="18"/>
          <w:lang w:val="pl-PL"/>
        </w:rPr>
      </w:pPr>
      <w:r w:rsidRPr="00504A5B">
        <w:rPr>
          <w:b/>
          <w:sz w:val="18"/>
          <w:szCs w:val="18"/>
          <w:lang w:val="pl-PL"/>
        </w:rPr>
        <w:t xml:space="preserve">Atradius Credito y </w:t>
      </w:r>
      <w:proofErr w:type="spellStart"/>
      <w:r w:rsidRPr="00504A5B">
        <w:rPr>
          <w:b/>
          <w:sz w:val="18"/>
          <w:szCs w:val="18"/>
          <w:lang w:val="pl-PL"/>
        </w:rPr>
        <w:t>Caucion</w:t>
      </w:r>
      <w:proofErr w:type="spellEnd"/>
      <w:r w:rsidRPr="00504A5B">
        <w:rPr>
          <w:b/>
          <w:sz w:val="18"/>
          <w:szCs w:val="18"/>
          <w:lang w:val="pl-PL"/>
        </w:rPr>
        <w:t xml:space="preserve"> S.A. de </w:t>
      </w:r>
      <w:proofErr w:type="spellStart"/>
      <w:r w:rsidRPr="00504A5B">
        <w:rPr>
          <w:b/>
          <w:sz w:val="18"/>
          <w:szCs w:val="18"/>
          <w:lang w:val="pl-PL"/>
        </w:rPr>
        <w:t>Seguros</w:t>
      </w:r>
      <w:proofErr w:type="spellEnd"/>
      <w:r w:rsidRPr="00504A5B">
        <w:rPr>
          <w:b/>
          <w:sz w:val="18"/>
          <w:szCs w:val="18"/>
          <w:lang w:val="pl-PL"/>
        </w:rPr>
        <w:t xml:space="preserve"> y </w:t>
      </w:r>
      <w:proofErr w:type="spellStart"/>
      <w:r w:rsidRPr="00504A5B">
        <w:rPr>
          <w:b/>
          <w:sz w:val="18"/>
          <w:szCs w:val="18"/>
          <w:lang w:val="pl-PL"/>
        </w:rPr>
        <w:t>Reaseguros</w:t>
      </w:r>
      <w:proofErr w:type="spellEnd"/>
      <w:r w:rsidRPr="00504A5B">
        <w:rPr>
          <w:b/>
          <w:sz w:val="18"/>
          <w:szCs w:val="18"/>
          <w:lang w:val="pl-PL"/>
        </w:rPr>
        <w:t xml:space="preserve"> Spółka Akcyjna </w:t>
      </w:r>
      <w:r w:rsidRPr="00504A5B">
        <w:rPr>
          <w:sz w:val="18"/>
          <w:szCs w:val="18"/>
          <w:lang w:val="pl-PL"/>
        </w:rPr>
        <w:t xml:space="preserve">jest częścią jednej z największych na świecie grup oferujących ubezpieczenia należności handlowych oraz usługi zarządzania wierzytelnościami. Międzynarodowe początki </w:t>
      </w:r>
      <w:r w:rsidRPr="00504A5B">
        <w:rPr>
          <w:b/>
          <w:sz w:val="18"/>
          <w:szCs w:val="18"/>
          <w:lang w:val="pl-PL"/>
        </w:rPr>
        <w:t xml:space="preserve">Atradius </w:t>
      </w:r>
      <w:r w:rsidRPr="00504A5B">
        <w:rPr>
          <w:sz w:val="18"/>
          <w:szCs w:val="18"/>
          <w:lang w:val="pl-PL"/>
        </w:rPr>
        <w:t xml:space="preserve">sięgają roku 1925, kiedy to w Holandii powstała firma </w:t>
      </w:r>
      <w:proofErr w:type="spellStart"/>
      <w:r w:rsidRPr="00504A5B">
        <w:rPr>
          <w:sz w:val="18"/>
          <w:szCs w:val="18"/>
          <w:lang w:val="pl-PL"/>
        </w:rPr>
        <w:t>Nederlansche</w:t>
      </w:r>
      <w:proofErr w:type="spellEnd"/>
      <w:r w:rsidRPr="00504A5B">
        <w:rPr>
          <w:sz w:val="18"/>
          <w:szCs w:val="18"/>
          <w:lang w:val="pl-PL"/>
        </w:rPr>
        <w:t xml:space="preserve"> </w:t>
      </w:r>
      <w:proofErr w:type="spellStart"/>
      <w:r w:rsidRPr="00504A5B">
        <w:rPr>
          <w:sz w:val="18"/>
          <w:szCs w:val="18"/>
          <w:lang w:val="pl-PL"/>
        </w:rPr>
        <w:t>Credietverzekering</w:t>
      </w:r>
      <w:proofErr w:type="spellEnd"/>
      <w:r w:rsidRPr="00504A5B">
        <w:rPr>
          <w:sz w:val="18"/>
          <w:szCs w:val="18"/>
          <w:lang w:val="pl-PL"/>
        </w:rPr>
        <w:t xml:space="preserve"> </w:t>
      </w:r>
      <w:proofErr w:type="spellStart"/>
      <w:r w:rsidRPr="00504A5B">
        <w:rPr>
          <w:sz w:val="18"/>
          <w:szCs w:val="18"/>
          <w:lang w:val="pl-PL"/>
        </w:rPr>
        <w:t>Maatchappij</w:t>
      </w:r>
      <w:proofErr w:type="spellEnd"/>
      <w:r w:rsidRPr="00504A5B">
        <w:rPr>
          <w:sz w:val="18"/>
          <w:szCs w:val="18"/>
          <w:lang w:val="pl-PL"/>
        </w:rPr>
        <w:t xml:space="preserve"> (NCM). Obecna struktura firmy jest wynikiem połączenia w 2001 r. struktur NCM i niemieckiego Gerling Credit, które w 2008 r. zostały wzbogacone o kompetencje hiszpańskiego ubezpieczyciela Credito y </w:t>
      </w:r>
      <w:proofErr w:type="spellStart"/>
      <w:r w:rsidRPr="00504A5B">
        <w:rPr>
          <w:sz w:val="18"/>
          <w:szCs w:val="18"/>
          <w:lang w:val="pl-PL"/>
        </w:rPr>
        <w:t>Caucion</w:t>
      </w:r>
      <w:proofErr w:type="spellEnd"/>
      <w:r w:rsidRPr="00504A5B">
        <w:rPr>
          <w:sz w:val="18"/>
          <w:szCs w:val="18"/>
          <w:lang w:val="pl-PL"/>
        </w:rPr>
        <w:t xml:space="preserve">. Obecnie </w:t>
      </w:r>
      <w:r w:rsidRPr="00504A5B">
        <w:rPr>
          <w:color w:val="000000"/>
          <w:sz w:val="18"/>
          <w:szCs w:val="18"/>
          <w:lang w:val="pl-PL"/>
        </w:rPr>
        <w:t xml:space="preserve">Grupa posiada </w:t>
      </w:r>
      <w:r w:rsidRPr="00504A5B">
        <w:rPr>
          <w:b/>
          <w:color w:val="000000"/>
          <w:sz w:val="18"/>
          <w:szCs w:val="18"/>
          <w:lang w:val="pl-PL"/>
        </w:rPr>
        <w:t>ok.</w:t>
      </w:r>
      <w:r w:rsidRPr="00504A5B">
        <w:rPr>
          <w:color w:val="000000"/>
          <w:sz w:val="18"/>
          <w:szCs w:val="18"/>
          <w:lang w:val="pl-PL"/>
        </w:rPr>
        <w:t xml:space="preserve"> </w:t>
      </w:r>
      <w:r w:rsidRPr="00504A5B">
        <w:rPr>
          <w:b/>
          <w:color w:val="000000"/>
          <w:sz w:val="18"/>
          <w:szCs w:val="18"/>
          <w:lang w:val="pl-PL"/>
        </w:rPr>
        <w:t>26 proc.</w:t>
      </w:r>
      <w:r w:rsidRPr="00504A5B">
        <w:rPr>
          <w:color w:val="000000"/>
          <w:sz w:val="18"/>
          <w:szCs w:val="18"/>
          <w:lang w:val="pl-PL"/>
        </w:rPr>
        <w:t xml:space="preserve"> udział w </w:t>
      </w:r>
      <w:r w:rsidRPr="00504A5B">
        <w:rPr>
          <w:sz w:val="18"/>
          <w:szCs w:val="18"/>
          <w:lang w:val="pl-PL"/>
        </w:rPr>
        <w:t xml:space="preserve">światowym rynku ubezpieczeń kredytu kupieckiego. Jej działalność prowadzona jest w 160 biurach zlokalizowanych w 50 krajach na całym świecie. Atradius zatrudnia obecnie ponad 3,3 tys. osób, generując przychody na poziomie ponad 2 mld euro. Oprócz ubezpieczenia należności, firma oferuje również usługi związane z międzynarodową windykacją, które świadczy za pośrednictwem spółki </w:t>
      </w:r>
      <w:r w:rsidRPr="00504A5B">
        <w:rPr>
          <w:b/>
          <w:sz w:val="18"/>
          <w:szCs w:val="18"/>
          <w:lang w:val="pl-PL"/>
        </w:rPr>
        <w:t>Atradius Collections</w:t>
      </w:r>
      <w:r w:rsidRPr="00504A5B">
        <w:rPr>
          <w:sz w:val="18"/>
          <w:szCs w:val="18"/>
          <w:lang w:val="pl-PL"/>
        </w:rPr>
        <w:t>.</w:t>
      </w:r>
    </w:p>
    <w:p w14:paraId="64918C0C" w14:textId="77777777" w:rsidR="00BB5E30" w:rsidRPr="00504A5B" w:rsidRDefault="00BB5E30" w:rsidP="00BB5E30">
      <w:pPr>
        <w:jc w:val="both"/>
        <w:rPr>
          <w:sz w:val="18"/>
          <w:szCs w:val="18"/>
          <w:lang w:val="pl-PL"/>
        </w:rPr>
      </w:pPr>
    </w:p>
    <w:p w14:paraId="3EB68A37" w14:textId="5BA31A8A" w:rsidR="00BB5E30" w:rsidRDefault="00BB5E30" w:rsidP="00BB5E30">
      <w:pPr>
        <w:jc w:val="both"/>
        <w:rPr>
          <w:sz w:val="18"/>
          <w:szCs w:val="18"/>
          <w:lang w:val="pl-PL"/>
        </w:rPr>
      </w:pPr>
      <w:r w:rsidRPr="00504A5B">
        <w:rPr>
          <w:b/>
          <w:sz w:val="18"/>
          <w:szCs w:val="18"/>
          <w:lang w:val="pl-PL"/>
        </w:rPr>
        <w:t>W Polsce Atradius</w:t>
      </w:r>
      <w:r w:rsidRPr="00504A5B">
        <w:rPr>
          <w:sz w:val="18"/>
          <w:szCs w:val="18"/>
          <w:lang w:val="pl-PL"/>
        </w:rPr>
        <w:t xml:space="preserve"> obecny jest od 2004 roku. Firma działa w zakresie ubezpieczenia wierzytelności handlowych klientów korporacyjnych oraz, poprzez Atradius Collections, windykacji. Obecnie firma posiada cztery biura na terenie kraju (w Warszawie, Krakowie, Poznaniu i Jeleniej Górze) oraz wyodrębniony </w:t>
      </w:r>
      <w:r w:rsidRPr="00504A5B">
        <w:rPr>
          <w:color w:val="000000"/>
          <w:sz w:val="18"/>
          <w:szCs w:val="18"/>
          <w:lang w:val="pl-PL"/>
        </w:rPr>
        <w:t>Departament Obsługi klienta</w:t>
      </w:r>
      <w:r w:rsidRPr="00504A5B">
        <w:rPr>
          <w:sz w:val="18"/>
          <w:szCs w:val="18"/>
          <w:lang w:val="pl-PL"/>
        </w:rPr>
        <w:t xml:space="preserve"> z opiekunem dedykowanym dla każdego klienta. Od 2009 roku polski oddział Atradius jest odpowiedzialny za koordynację międzynarodowych programów </w:t>
      </w:r>
      <w:r w:rsidRPr="00504A5B">
        <w:rPr>
          <w:color w:val="000000"/>
          <w:sz w:val="18"/>
          <w:szCs w:val="18"/>
          <w:lang w:val="pl-PL"/>
        </w:rPr>
        <w:t>globalnych</w:t>
      </w:r>
      <w:r w:rsidRPr="00504A5B">
        <w:rPr>
          <w:sz w:val="18"/>
          <w:szCs w:val="18"/>
          <w:lang w:val="pl-PL"/>
        </w:rPr>
        <w:t xml:space="preserve"> w Europie Wschodniej.</w:t>
      </w:r>
    </w:p>
    <w:p w14:paraId="7BE1425C" w14:textId="77777777" w:rsidR="00BB5E30" w:rsidRPr="00504A5B" w:rsidRDefault="00BB5E30" w:rsidP="00BB5E30">
      <w:pPr>
        <w:jc w:val="both"/>
        <w:rPr>
          <w:sz w:val="18"/>
          <w:szCs w:val="18"/>
          <w:lang w:val="pl-PL"/>
        </w:rPr>
      </w:pPr>
    </w:p>
    <w:p w14:paraId="0BBBB039" w14:textId="5662764C" w:rsidR="00BB5E30" w:rsidRDefault="00BB5E30" w:rsidP="00BB5E30">
      <w:pPr>
        <w:jc w:val="both"/>
        <w:rPr>
          <w:color w:val="FF0000"/>
          <w:sz w:val="18"/>
          <w:szCs w:val="18"/>
          <w:lang w:val="pl-PL"/>
        </w:rPr>
      </w:pPr>
      <w:r w:rsidRPr="00504A5B">
        <w:rPr>
          <w:sz w:val="18"/>
          <w:szCs w:val="18"/>
          <w:lang w:val="pl-PL"/>
        </w:rPr>
        <w:t>Firma Atradius oferuje ubezpieczenia kredytu kupieckiego w nowy, innowacyjny sposób</w:t>
      </w:r>
      <w:r w:rsidR="00FE04E3">
        <w:rPr>
          <w:sz w:val="18"/>
          <w:szCs w:val="18"/>
          <w:lang w:val="pl-PL"/>
        </w:rPr>
        <w:t xml:space="preserve"> –</w:t>
      </w:r>
      <w:r w:rsidRPr="00504A5B">
        <w:rPr>
          <w:sz w:val="18"/>
          <w:szCs w:val="18"/>
          <w:lang w:val="pl-PL"/>
        </w:rPr>
        <w:t xml:space="preserve"> taki, który staje się rozsądną inwestycją, umożliwiającą zwiększenie przychodów, jak również poprawę płynności finansowej oraz wyników przedsiębiorstw i </w:t>
      </w:r>
      <w:r w:rsidRPr="00504A5B">
        <w:rPr>
          <w:color w:val="000000"/>
          <w:sz w:val="18"/>
          <w:szCs w:val="18"/>
          <w:lang w:val="pl-PL"/>
        </w:rPr>
        <w:t xml:space="preserve">zapewnienie im trwałego, bezpiecznego rozwoju. Obecnie firma oferuje trzy główne produkty ubezpieczeniowe. Polisa Modułowa to produkt umożliwiający zbudowanie indywidualnie dopasowanego ubezpieczenia należności, w kompleksowy sposób zapewniającego ochronę ubezpieczeniową związaną z ryzykiem braku płatności. Ubezpieczenie to przeznaczone jest głównie dla firm mających siedzibę w Polsce. Polisa Globalna natomiast to elastyczne rozwiązanie, dostosowane do specyficznych potrzeb klientów posiadających i rozwijających oddziały w wielu krajach. Ponadto, w swojej ofercie Atradius posiada specjalistyczne ubezpieczenia pojedynczych kontraktów i </w:t>
      </w:r>
      <w:proofErr w:type="spellStart"/>
      <w:r w:rsidRPr="00504A5B">
        <w:rPr>
          <w:color w:val="000000"/>
          <w:sz w:val="18"/>
          <w:szCs w:val="18"/>
          <w:lang w:val="pl-PL"/>
        </w:rPr>
        <w:t>ryzyk</w:t>
      </w:r>
      <w:proofErr w:type="spellEnd"/>
      <w:r w:rsidRPr="00504A5B">
        <w:rPr>
          <w:color w:val="000000"/>
          <w:sz w:val="18"/>
          <w:szCs w:val="18"/>
          <w:lang w:val="pl-PL"/>
        </w:rPr>
        <w:t xml:space="preserve"> politycznych (Special Products).</w:t>
      </w:r>
    </w:p>
    <w:p w14:paraId="3A64244B" w14:textId="77777777" w:rsidR="00BB5E30" w:rsidRPr="00504A5B" w:rsidRDefault="00BB5E30" w:rsidP="00BB5E30">
      <w:pPr>
        <w:jc w:val="both"/>
        <w:rPr>
          <w:color w:val="FF0000"/>
          <w:sz w:val="18"/>
          <w:szCs w:val="18"/>
          <w:lang w:val="pl-PL"/>
        </w:rPr>
      </w:pPr>
    </w:p>
    <w:p w14:paraId="2ED123D2" w14:textId="370150B8" w:rsidR="00BB5E30" w:rsidRPr="00504A5B" w:rsidRDefault="00BB5E30" w:rsidP="00BB5E30">
      <w:pPr>
        <w:jc w:val="both"/>
        <w:rPr>
          <w:sz w:val="18"/>
          <w:szCs w:val="18"/>
          <w:lang w:val="pl-PL"/>
        </w:rPr>
      </w:pPr>
      <w:r w:rsidRPr="00504A5B">
        <w:rPr>
          <w:sz w:val="18"/>
          <w:szCs w:val="18"/>
          <w:lang w:val="pl-PL"/>
        </w:rPr>
        <w:t xml:space="preserve">Dzięki szerokiej sieci oddziałów na kluczowych rynkach, Atradius ma możliwość kompleksowego </w:t>
      </w:r>
      <w:r w:rsidRPr="00504A5B">
        <w:rPr>
          <w:color w:val="000000"/>
          <w:sz w:val="18"/>
          <w:szCs w:val="18"/>
          <w:lang w:val="pl-PL"/>
        </w:rPr>
        <w:t>zapewnienia ochrony finansowej eksportu polskich klientów i oceny ich dłużników z pomocą specjalistów posiadających wiedzę i doświadczenie dotyczące konkretnego rynku, otoczenia prawnego i zachowania kontrahentów za granicą. Co więcej, obsługa polis Atradius</w:t>
      </w:r>
      <w:r w:rsidRPr="00504A5B">
        <w:rPr>
          <w:sz w:val="18"/>
          <w:szCs w:val="18"/>
          <w:lang w:val="pl-PL"/>
        </w:rPr>
        <w:t xml:space="preserve"> odbywa się poprzez jedną, globalną platformę internetową – </w:t>
      </w:r>
      <w:r w:rsidRPr="00504A5B">
        <w:rPr>
          <w:bCs/>
          <w:color w:val="000000"/>
          <w:sz w:val="18"/>
          <w:szCs w:val="18"/>
          <w:lang w:val="pl-PL"/>
        </w:rPr>
        <w:t>Atrium</w:t>
      </w:r>
      <w:r w:rsidRPr="00504A5B">
        <w:rPr>
          <w:b/>
          <w:bCs/>
          <w:color w:val="1F497D"/>
          <w:sz w:val="18"/>
          <w:szCs w:val="18"/>
          <w:lang w:val="pl-PL"/>
        </w:rPr>
        <w:t xml:space="preserve"> </w:t>
      </w:r>
      <w:r w:rsidRPr="00504A5B">
        <w:rPr>
          <w:sz w:val="18"/>
          <w:szCs w:val="18"/>
          <w:lang w:val="pl-PL"/>
        </w:rPr>
        <w:t>umożliwiającą natychmiastowe przekazanie zleceń ochrony wierzytelności w dowolnym kraju dłużnika, w którym firma prowadzi działalność.</w:t>
      </w:r>
    </w:p>
    <w:p w14:paraId="30F46100" w14:textId="62850C6D" w:rsidR="00454852" w:rsidRPr="00FE04E3" w:rsidRDefault="00BB5E30" w:rsidP="0095104E">
      <w:pPr>
        <w:jc w:val="both"/>
        <w:rPr>
          <w:sz w:val="18"/>
          <w:szCs w:val="18"/>
          <w:lang w:val="pl-PL"/>
        </w:rPr>
      </w:pPr>
      <w:r w:rsidRPr="00504A5B">
        <w:rPr>
          <w:sz w:val="18"/>
          <w:szCs w:val="18"/>
          <w:lang w:val="pl-PL"/>
        </w:rPr>
        <w:t xml:space="preserve">Więcej informacji znaleźć można na stronie internetowej Grupy </w:t>
      </w:r>
      <w:r w:rsidR="00FE04E3">
        <w:rPr>
          <w:sz w:val="18"/>
          <w:szCs w:val="18"/>
          <w:lang w:val="pl-PL"/>
        </w:rPr>
        <w:t xml:space="preserve">– </w:t>
      </w:r>
      <w:hyperlink r:id="rId7" w:history="1">
        <w:r w:rsidR="00FE04E3" w:rsidRPr="00457151">
          <w:rPr>
            <w:rStyle w:val="Hipercze"/>
            <w:rFonts w:ascii="Calibri" w:hAnsi="Calibri" w:cs="Calibri"/>
            <w:sz w:val="18"/>
            <w:szCs w:val="18"/>
            <w:shd w:val="clear" w:color="auto" w:fill="FFFFFF"/>
            <w:lang w:val="pl-PL"/>
          </w:rPr>
          <w:t>www.atradius.pl</w:t>
        </w:r>
      </w:hyperlink>
      <w:r w:rsidR="00FE04E3" w:rsidRPr="00FE04E3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  <w:lang w:val="pl-PL"/>
        </w:rPr>
        <w:t>.</w:t>
      </w:r>
    </w:p>
    <w:sectPr w:rsidR="00454852" w:rsidRPr="00FE04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D1637" w14:textId="77777777" w:rsidR="006139DD" w:rsidRDefault="006139DD">
      <w:pPr>
        <w:spacing w:after="0" w:line="240" w:lineRule="auto"/>
      </w:pPr>
      <w:r>
        <w:separator/>
      </w:r>
    </w:p>
  </w:endnote>
  <w:endnote w:type="continuationSeparator" w:id="0">
    <w:p w14:paraId="6A6637BF" w14:textId="77777777" w:rsidR="006139DD" w:rsidRDefault="0061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talana Sans Regular">
    <w:altName w:val="Arial"/>
    <w:charset w:val="00"/>
    <w:family w:val="auto"/>
    <w:pitch w:val="variable"/>
    <w:sig w:usb0="A00002AF" w:usb1="5000205B" w:usb2="0000001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919A9" w14:textId="77777777" w:rsidR="006139DD" w:rsidRDefault="006139DD">
      <w:pPr>
        <w:spacing w:after="0" w:line="240" w:lineRule="auto"/>
      </w:pPr>
      <w:r>
        <w:separator/>
      </w:r>
    </w:p>
  </w:footnote>
  <w:footnote w:type="continuationSeparator" w:id="0">
    <w:p w14:paraId="52D97CAE" w14:textId="77777777" w:rsidR="006139DD" w:rsidRDefault="0061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3DF5C" w14:textId="77777777" w:rsidR="000C2B5A" w:rsidRDefault="00AB5141">
    <w:pPr>
      <w:pStyle w:val="Nagwek"/>
    </w:pPr>
    <w:r w:rsidRPr="00F708E6">
      <w:rPr>
        <w:rFonts w:ascii="Catalana Sans Regular" w:hAnsi="Catalana Sans Regular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0D9A699" wp14:editId="78D90E3A">
          <wp:simplePos x="0" y="0"/>
          <wp:positionH relativeFrom="margin">
            <wp:align>left</wp:align>
          </wp:positionH>
          <wp:positionV relativeFrom="paragraph">
            <wp:posOffset>-159385</wp:posOffset>
          </wp:positionV>
          <wp:extent cx="1692275" cy="464185"/>
          <wp:effectExtent l="0" t="0" r="3175" b="0"/>
          <wp:wrapSquare wrapText="bothSides"/>
          <wp:docPr id="1" name="Picture 1" descr="http://www.atradiusidentity.net/downloads/logos/img/ATR_wt_rgb_lr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tradiusidentity.net/downloads/logos/img/ATR_wt_rgb_lr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30"/>
    <w:rsid w:val="000529AA"/>
    <w:rsid w:val="000A2646"/>
    <w:rsid w:val="000A319F"/>
    <w:rsid w:val="000C1756"/>
    <w:rsid w:val="000E1629"/>
    <w:rsid w:val="00120876"/>
    <w:rsid w:val="001513F3"/>
    <w:rsid w:val="00167324"/>
    <w:rsid w:val="00194582"/>
    <w:rsid w:val="001A1DA0"/>
    <w:rsid w:val="001B74BD"/>
    <w:rsid w:val="001C19E5"/>
    <w:rsid w:val="00222D5B"/>
    <w:rsid w:val="0022329D"/>
    <w:rsid w:val="00254D88"/>
    <w:rsid w:val="002C2E57"/>
    <w:rsid w:val="003214A1"/>
    <w:rsid w:val="003A7558"/>
    <w:rsid w:val="003E51A5"/>
    <w:rsid w:val="003F4A24"/>
    <w:rsid w:val="00402E1C"/>
    <w:rsid w:val="00433F04"/>
    <w:rsid w:val="0045218B"/>
    <w:rsid w:val="00454852"/>
    <w:rsid w:val="00457219"/>
    <w:rsid w:val="004904C4"/>
    <w:rsid w:val="004920E2"/>
    <w:rsid w:val="004D7036"/>
    <w:rsid w:val="004E1166"/>
    <w:rsid w:val="005040AF"/>
    <w:rsid w:val="005366C8"/>
    <w:rsid w:val="00546815"/>
    <w:rsid w:val="005479FA"/>
    <w:rsid w:val="00553CA2"/>
    <w:rsid w:val="00565BCF"/>
    <w:rsid w:val="00586997"/>
    <w:rsid w:val="00586F63"/>
    <w:rsid w:val="005C2785"/>
    <w:rsid w:val="005F5605"/>
    <w:rsid w:val="006139DD"/>
    <w:rsid w:val="006E2B80"/>
    <w:rsid w:val="006E4591"/>
    <w:rsid w:val="00701E73"/>
    <w:rsid w:val="007152FA"/>
    <w:rsid w:val="00764157"/>
    <w:rsid w:val="007667BB"/>
    <w:rsid w:val="007979CB"/>
    <w:rsid w:val="007A3571"/>
    <w:rsid w:val="007B7BA5"/>
    <w:rsid w:val="00852100"/>
    <w:rsid w:val="008E5EE6"/>
    <w:rsid w:val="008F400E"/>
    <w:rsid w:val="008F7F3B"/>
    <w:rsid w:val="00926BCF"/>
    <w:rsid w:val="00946067"/>
    <w:rsid w:val="0095104E"/>
    <w:rsid w:val="00984B81"/>
    <w:rsid w:val="009A4D73"/>
    <w:rsid w:val="009C7956"/>
    <w:rsid w:val="009D0D2C"/>
    <w:rsid w:val="009F0B83"/>
    <w:rsid w:val="00A2750A"/>
    <w:rsid w:val="00A444CF"/>
    <w:rsid w:val="00A5301A"/>
    <w:rsid w:val="00A871EB"/>
    <w:rsid w:val="00AB5141"/>
    <w:rsid w:val="00AB5BE3"/>
    <w:rsid w:val="00AD1139"/>
    <w:rsid w:val="00AF1955"/>
    <w:rsid w:val="00B03252"/>
    <w:rsid w:val="00B21B5D"/>
    <w:rsid w:val="00B238EA"/>
    <w:rsid w:val="00B455A8"/>
    <w:rsid w:val="00B80283"/>
    <w:rsid w:val="00B84684"/>
    <w:rsid w:val="00BB5E30"/>
    <w:rsid w:val="00BC5214"/>
    <w:rsid w:val="00BE6F30"/>
    <w:rsid w:val="00C37DD7"/>
    <w:rsid w:val="00C60FF3"/>
    <w:rsid w:val="00C75EEC"/>
    <w:rsid w:val="00CA7AB3"/>
    <w:rsid w:val="00CD1DE6"/>
    <w:rsid w:val="00CE0D8A"/>
    <w:rsid w:val="00CE5C26"/>
    <w:rsid w:val="00CF4C36"/>
    <w:rsid w:val="00CF4CA4"/>
    <w:rsid w:val="00CF5E85"/>
    <w:rsid w:val="00D10CF4"/>
    <w:rsid w:val="00D340EF"/>
    <w:rsid w:val="00D363DE"/>
    <w:rsid w:val="00D37C6F"/>
    <w:rsid w:val="00D62ECE"/>
    <w:rsid w:val="00D81824"/>
    <w:rsid w:val="00D9576B"/>
    <w:rsid w:val="00DB50F6"/>
    <w:rsid w:val="00DD32EE"/>
    <w:rsid w:val="00E267E0"/>
    <w:rsid w:val="00E743F0"/>
    <w:rsid w:val="00E93746"/>
    <w:rsid w:val="00EA1569"/>
    <w:rsid w:val="00EA5EEF"/>
    <w:rsid w:val="00ED79A9"/>
    <w:rsid w:val="00F0735B"/>
    <w:rsid w:val="00F203F3"/>
    <w:rsid w:val="00F21D0A"/>
    <w:rsid w:val="00F3063A"/>
    <w:rsid w:val="00F64023"/>
    <w:rsid w:val="00F84B5D"/>
    <w:rsid w:val="00FA7A88"/>
    <w:rsid w:val="00FB41D6"/>
    <w:rsid w:val="00FE04E3"/>
    <w:rsid w:val="00FE09B8"/>
    <w:rsid w:val="00FE2D09"/>
    <w:rsid w:val="00F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3139"/>
  <w15:chartTrackingRefBased/>
  <w15:docId w15:val="{AE39769A-0D5F-4032-93CB-BBFB92AC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E30"/>
    <w:pPr>
      <w:spacing w:after="40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E30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BB5E30"/>
    <w:rPr>
      <w:color w:val="0000FF"/>
      <w:u w:val="single"/>
    </w:rPr>
  </w:style>
  <w:style w:type="paragraph" w:styleId="Bezodstpw">
    <w:name w:val="No Spacing"/>
    <w:uiPriority w:val="1"/>
    <w:qFormat/>
    <w:rsid w:val="00BB5E30"/>
    <w:pPr>
      <w:spacing w:after="0" w:line="240" w:lineRule="auto"/>
    </w:pPr>
    <w:rPr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E30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FE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tradiu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ika.szpregiel@hava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global.atradius.com/publications/list/publications.html?utm_source=pressrelease&amp;utm_medium=pr-2013-09-27&amp;utm_campaign=ppb-2013,ppb-the-americas&amp;utm_content=publications-sec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Szpręgiel</dc:creator>
  <cp:keywords/>
  <dc:description/>
  <cp:lastModifiedBy>Angelika Szpręgiel</cp:lastModifiedBy>
  <cp:revision>103</cp:revision>
  <dcterms:created xsi:type="dcterms:W3CDTF">2021-08-23T10:18:00Z</dcterms:created>
  <dcterms:modified xsi:type="dcterms:W3CDTF">2021-08-25T09:14:00Z</dcterms:modified>
</cp:coreProperties>
</file>